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7C6A7" w14:textId="5B8CBEE7" w:rsidR="00756E9B" w:rsidRPr="00A54952" w:rsidRDefault="005C33EC">
      <w:pPr>
        <w:rPr>
          <w:rFonts w:cstheme="minorHAnsi"/>
          <w:b/>
          <w:bCs/>
        </w:rPr>
      </w:pPr>
      <w:r w:rsidRPr="00A54952">
        <w:rPr>
          <w:rFonts w:cstheme="minorHAnsi"/>
          <w:b/>
          <w:bCs/>
        </w:rPr>
        <w:t>2020-</w:t>
      </w:r>
      <w:r w:rsidR="008E08C6">
        <w:rPr>
          <w:rFonts w:cstheme="minorHAnsi"/>
          <w:b/>
          <w:bCs/>
        </w:rPr>
        <w:t>09</w:t>
      </w:r>
      <w:r w:rsidRPr="00A54952">
        <w:rPr>
          <w:rFonts w:cstheme="minorHAnsi"/>
          <w:b/>
          <w:bCs/>
        </w:rPr>
        <w:t>-</w:t>
      </w:r>
      <w:r w:rsidR="00F90BF7">
        <w:rPr>
          <w:rFonts w:cstheme="minorHAnsi"/>
          <w:b/>
          <w:bCs/>
        </w:rPr>
        <w:t>09</w:t>
      </w:r>
    </w:p>
    <w:p w14:paraId="54CA9189" w14:textId="77777777" w:rsidR="005C33EC" w:rsidRPr="00A54952" w:rsidRDefault="005C33EC">
      <w:pPr>
        <w:rPr>
          <w:rFonts w:cstheme="minorHAnsi"/>
          <w:b/>
          <w:bCs/>
        </w:rPr>
      </w:pPr>
    </w:p>
    <w:p w14:paraId="5779A6FB" w14:textId="1199CFEE" w:rsidR="009053C5" w:rsidRPr="00A54952" w:rsidRDefault="00A629FA">
      <w:pPr>
        <w:rPr>
          <w:rFonts w:cstheme="minorHAnsi"/>
          <w:b/>
          <w:bCs/>
        </w:rPr>
      </w:pPr>
      <w:proofErr w:type="spellStart"/>
      <w:r w:rsidRPr="00A54952">
        <w:rPr>
          <w:rFonts w:cstheme="minorHAnsi"/>
          <w:b/>
          <w:bCs/>
        </w:rPr>
        <w:t>Ni</w:t>
      </w:r>
      <w:r w:rsidR="009053C5" w:rsidRPr="00A54952">
        <w:rPr>
          <w:rFonts w:cstheme="minorHAnsi"/>
          <w:b/>
          <w:bCs/>
        </w:rPr>
        <w:t>fedipin</w:t>
      </w:r>
      <w:proofErr w:type="spellEnd"/>
      <w:r w:rsidR="002F0605" w:rsidRPr="00A54952">
        <w:rPr>
          <w:rFonts w:cstheme="minorHAnsi"/>
          <w:b/>
          <w:bCs/>
        </w:rPr>
        <w:t xml:space="preserve"> </w:t>
      </w:r>
      <w:r w:rsidR="009053C5" w:rsidRPr="00A54952">
        <w:rPr>
          <w:rFonts w:cstheme="minorHAnsi"/>
          <w:b/>
          <w:bCs/>
        </w:rPr>
        <w:t>(</w:t>
      </w:r>
      <w:proofErr w:type="spellStart"/>
      <w:r w:rsidR="009053C5" w:rsidRPr="00A54952">
        <w:rPr>
          <w:rFonts w:cstheme="minorHAnsi"/>
          <w:b/>
          <w:bCs/>
        </w:rPr>
        <w:t>ADALAT</w:t>
      </w:r>
      <w:proofErr w:type="spellEnd"/>
      <w:r w:rsidR="002F0605" w:rsidRPr="00A54952">
        <w:rPr>
          <w:rFonts w:cstheme="minorHAnsi"/>
          <w:b/>
          <w:bCs/>
        </w:rPr>
        <w:t>®</w:t>
      </w:r>
      <w:r w:rsidR="009053C5" w:rsidRPr="00A54952">
        <w:rPr>
          <w:rFonts w:cstheme="minorHAnsi"/>
          <w:b/>
          <w:bCs/>
        </w:rPr>
        <w:t xml:space="preserve">) </w:t>
      </w:r>
      <w:r w:rsidRPr="00A54952">
        <w:rPr>
          <w:rFonts w:cstheme="minorHAnsi"/>
          <w:b/>
          <w:bCs/>
        </w:rPr>
        <w:t xml:space="preserve">och </w:t>
      </w:r>
      <w:proofErr w:type="spellStart"/>
      <w:r w:rsidRPr="00A54952">
        <w:rPr>
          <w:rFonts w:cstheme="minorHAnsi"/>
          <w:b/>
          <w:bCs/>
        </w:rPr>
        <w:t>labetalol</w:t>
      </w:r>
      <w:proofErr w:type="spellEnd"/>
      <w:r w:rsidRPr="00A54952">
        <w:rPr>
          <w:rFonts w:cstheme="minorHAnsi"/>
          <w:b/>
          <w:bCs/>
        </w:rPr>
        <w:t xml:space="preserve"> (TRANDATE</w:t>
      </w:r>
      <w:r w:rsidR="002F0605" w:rsidRPr="00A54952">
        <w:rPr>
          <w:rFonts w:cstheme="minorHAnsi"/>
          <w:b/>
          <w:bCs/>
        </w:rPr>
        <w:t>®</w:t>
      </w:r>
      <w:r w:rsidRPr="00A54952">
        <w:rPr>
          <w:rFonts w:cstheme="minorHAnsi"/>
          <w:b/>
          <w:bCs/>
        </w:rPr>
        <w:t xml:space="preserve">) vid svår hypertoni under graviditet </w:t>
      </w:r>
    </w:p>
    <w:p w14:paraId="7107C086" w14:textId="77777777" w:rsidR="009053C5" w:rsidRPr="00A54952" w:rsidRDefault="009053C5">
      <w:pPr>
        <w:rPr>
          <w:rFonts w:cstheme="minorHAnsi"/>
          <w:b/>
          <w:bCs/>
        </w:rPr>
      </w:pPr>
    </w:p>
    <w:p w14:paraId="44517CFA" w14:textId="45761C25" w:rsidR="00803A79" w:rsidRPr="00A54952" w:rsidRDefault="009053C5" w:rsidP="00803A79">
      <w:pPr>
        <w:pStyle w:val="Default"/>
        <w:rPr>
          <w:rFonts w:asciiTheme="minorHAnsi" w:hAnsiTheme="minorHAnsi" w:cstheme="minorHAnsi"/>
          <w:b/>
          <w:bCs/>
        </w:rPr>
      </w:pPr>
      <w:r w:rsidRPr="008E08C6">
        <w:rPr>
          <w:rFonts w:asciiTheme="minorHAnsi" w:hAnsiTheme="minorHAnsi" w:cstheme="minorHAnsi"/>
        </w:rPr>
        <w:t>Under året har meddelats at</w:t>
      </w:r>
      <w:r w:rsidR="002F0605" w:rsidRPr="008E08C6">
        <w:rPr>
          <w:rFonts w:asciiTheme="minorHAnsi" w:hAnsiTheme="minorHAnsi" w:cstheme="minorHAnsi"/>
        </w:rPr>
        <w:t>t</w:t>
      </w:r>
      <w:r w:rsidRPr="008E08C6">
        <w:rPr>
          <w:rFonts w:asciiTheme="minorHAnsi" w:hAnsiTheme="minorHAnsi" w:cstheme="minorHAnsi"/>
        </w:rPr>
        <w:t xml:space="preserve"> </w:t>
      </w:r>
      <w:proofErr w:type="spellStart"/>
      <w:r w:rsidRPr="008E08C6">
        <w:rPr>
          <w:rFonts w:asciiTheme="minorHAnsi" w:hAnsiTheme="minorHAnsi" w:cstheme="minorHAnsi"/>
        </w:rPr>
        <w:t>nifedipin</w:t>
      </w:r>
      <w:proofErr w:type="spellEnd"/>
      <w:r w:rsidRPr="008E08C6">
        <w:rPr>
          <w:rFonts w:asciiTheme="minorHAnsi" w:hAnsiTheme="minorHAnsi" w:cstheme="minorHAnsi"/>
        </w:rPr>
        <w:t xml:space="preserve"> (</w:t>
      </w:r>
      <w:proofErr w:type="spellStart"/>
      <w:r w:rsidRPr="008E08C6">
        <w:rPr>
          <w:rFonts w:asciiTheme="minorHAnsi" w:hAnsiTheme="minorHAnsi" w:cstheme="minorHAnsi"/>
        </w:rPr>
        <w:t>ADALAT</w:t>
      </w:r>
      <w:proofErr w:type="spellEnd"/>
      <w:r w:rsidR="002F0605" w:rsidRPr="008E08C6">
        <w:rPr>
          <w:rFonts w:asciiTheme="minorHAnsi" w:hAnsiTheme="minorHAnsi" w:cstheme="minorHAnsi"/>
        </w:rPr>
        <w:t>®</w:t>
      </w:r>
      <w:r w:rsidRPr="008E08C6">
        <w:rPr>
          <w:rFonts w:asciiTheme="minorHAnsi" w:hAnsiTheme="minorHAnsi" w:cstheme="minorHAnsi"/>
        </w:rPr>
        <w:t>)</w:t>
      </w:r>
      <w:r w:rsidR="00803A79" w:rsidRPr="008E08C6">
        <w:rPr>
          <w:rFonts w:asciiTheme="minorHAnsi" w:hAnsiTheme="minorHAnsi" w:cstheme="minorHAnsi"/>
        </w:rPr>
        <w:t xml:space="preserve"> 10 mg för akut behandling</w:t>
      </w:r>
      <w:r w:rsidRPr="008E08C6">
        <w:rPr>
          <w:rFonts w:asciiTheme="minorHAnsi" w:hAnsiTheme="minorHAnsi" w:cstheme="minorHAnsi"/>
        </w:rPr>
        <w:t xml:space="preserve"> inte längre kommer saluföras av Bayer </w:t>
      </w:r>
      <w:r w:rsidR="00D463CC" w:rsidRPr="008E08C6">
        <w:rPr>
          <w:rFonts w:asciiTheme="minorHAnsi" w:hAnsiTheme="minorHAnsi" w:cstheme="minorHAnsi"/>
        </w:rPr>
        <w:t>e</w:t>
      </w:r>
      <w:r w:rsidR="00A629FA" w:rsidRPr="008E08C6">
        <w:rPr>
          <w:rFonts w:asciiTheme="minorHAnsi" w:hAnsiTheme="minorHAnsi" w:cstheme="minorHAnsi"/>
        </w:rPr>
        <w:t xml:space="preserve">fter 1 oktober 2020. </w:t>
      </w:r>
      <w:r w:rsidRPr="008E08C6">
        <w:rPr>
          <w:rFonts w:asciiTheme="minorHAnsi" w:hAnsiTheme="minorHAnsi" w:cstheme="minorHAnsi"/>
        </w:rPr>
        <w:t>Indragningen är ett globalt beslut av läkemedelsföretaget.</w:t>
      </w:r>
    </w:p>
    <w:p w14:paraId="05344E0D" w14:textId="7AEE503C" w:rsidR="00803A79" w:rsidRPr="00401B88" w:rsidRDefault="00803A79" w:rsidP="00803A79">
      <w:pPr>
        <w:pStyle w:val="Default"/>
        <w:rPr>
          <w:rFonts w:asciiTheme="minorHAnsi" w:hAnsiTheme="minorHAnsi" w:cstheme="minorHAnsi"/>
          <w:b/>
          <w:bCs/>
        </w:rPr>
      </w:pPr>
      <w:proofErr w:type="spellStart"/>
      <w:r w:rsidRPr="00A54952">
        <w:rPr>
          <w:rFonts w:asciiTheme="minorHAnsi" w:hAnsiTheme="minorHAnsi" w:cstheme="minorHAnsi"/>
          <w:b/>
          <w:bCs/>
        </w:rPr>
        <w:t>A</w:t>
      </w:r>
      <w:r w:rsidR="00D50386" w:rsidRPr="00A54952">
        <w:rPr>
          <w:rFonts w:asciiTheme="minorHAnsi" w:hAnsiTheme="minorHAnsi" w:cstheme="minorHAnsi"/>
          <w:b/>
          <w:bCs/>
        </w:rPr>
        <w:t>DALAT</w:t>
      </w:r>
      <w:proofErr w:type="spellEnd"/>
      <w:r w:rsidRPr="00A54952">
        <w:rPr>
          <w:rFonts w:asciiTheme="minorHAnsi" w:hAnsiTheme="minorHAnsi" w:cstheme="minorHAnsi"/>
          <w:b/>
          <w:bCs/>
        </w:rPr>
        <w:t xml:space="preserve"> de</w:t>
      </w:r>
      <w:r w:rsidR="00D50386" w:rsidRPr="00A54952">
        <w:rPr>
          <w:rFonts w:asciiTheme="minorHAnsi" w:hAnsiTheme="minorHAnsi" w:cstheme="minorHAnsi"/>
          <w:b/>
          <w:bCs/>
        </w:rPr>
        <w:t>pottablett</w:t>
      </w:r>
      <w:r w:rsidRPr="00A54952">
        <w:rPr>
          <w:rFonts w:asciiTheme="minorHAnsi" w:hAnsiTheme="minorHAnsi" w:cstheme="minorHAnsi"/>
        </w:rPr>
        <w:t>®</w:t>
      </w:r>
      <w:r w:rsidR="00D50386" w:rsidRPr="00A54952">
        <w:rPr>
          <w:rFonts w:asciiTheme="minorHAnsi" w:hAnsiTheme="minorHAnsi" w:cstheme="minorHAnsi"/>
        </w:rPr>
        <w:t>, 3</w:t>
      </w:r>
      <w:r w:rsidR="00F90BF7">
        <w:rPr>
          <w:rFonts w:asciiTheme="minorHAnsi" w:hAnsiTheme="minorHAnsi" w:cstheme="minorHAnsi"/>
        </w:rPr>
        <w:t xml:space="preserve">0 </w:t>
      </w:r>
      <w:r w:rsidR="00D50386" w:rsidRPr="00A54952">
        <w:rPr>
          <w:rFonts w:asciiTheme="minorHAnsi" w:hAnsiTheme="minorHAnsi" w:cstheme="minorHAnsi"/>
        </w:rPr>
        <w:t>mg</w:t>
      </w:r>
      <w:r w:rsidR="00F90BF7">
        <w:rPr>
          <w:rFonts w:asciiTheme="minorHAnsi" w:hAnsiTheme="minorHAnsi" w:cstheme="minorHAnsi"/>
        </w:rPr>
        <w:t>,</w:t>
      </w:r>
      <w:r w:rsidRPr="00A54952">
        <w:rPr>
          <w:rFonts w:asciiTheme="minorHAnsi" w:hAnsiTheme="minorHAnsi" w:cstheme="minorHAnsi"/>
        </w:rPr>
        <w:t xml:space="preserve"> för underhållsbehandling kommer att finnas fortsättningsvis</w:t>
      </w:r>
      <w:r w:rsidR="00F90BF7">
        <w:rPr>
          <w:rFonts w:asciiTheme="minorHAnsi" w:hAnsiTheme="minorHAnsi" w:cstheme="minorHAnsi"/>
        </w:rPr>
        <w:t xml:space="preserve"> fr om april 2021, i övrigt hänvisas till vad som gäller för </w:t>
      </w:r>
      <w:proofErr w:type="spellStart"/>
      <w:r w:rsidR="00F90BF7">
        <w:rPr>
          <w:rFonts w:asciiTheme="minorHAnsi" w:hAnsiTheme="minorHAnsi" w:cstheme="minorHAnsi"/>
        </w:rPr>
        <w:t>ADALAT</w:t>
      </w:r>
      <w:proofErr w:type="spellEnd"/>
      <w:r w:rsidR="00F90BF7" w:rsidRPr="008E08C6">
        <w:rPr>
          <w:rFonts w:asciiTheme="minorHAnsi" w:hAnsiTheme="minorHAnsi" w:cstheme="minorHAnsi"/>
        </w:rPr>
        <w:t>®</w:t>
      </w:r>
      <w:r w:rsidR="00F90BF7">
        <w:rPr>
          <w:rFonts w:asciiTheme="minorHAnsi" w:hAnsiTheme="minorHAnsi" w:cstheme="minorHAnsi"/>
        </w:rPr>
        <w:t xml:space="preserve"> 10 mg </w:t>
      </w:r>
      <w:r w:rsidRPr="00A54952">
        <w:rPr>
          <w:rFonts w:asciiTheme="minorHAnsi" w:hAnsiTheme="minorHAnsi" w:cstheme="minorHAnsi"/>
        </w:rPr>
        <w:t xml:space="preserve">.  </w:t>
      </w:r>
    </w:p>
    <w:p w14:paraId="7DC05CF7" w14:textId="77777777" w:rsidR="00634FD2" w:rsidRPr="00401B88" w:rsidRDefault="00634FD2">
      <w:pPr>
        <w:rPr>
          <w:rFonts w:cstheme="minorHAnsi"/>
        </w:rPr>
      </w:pPr>
    </w:p>
    <w:p w14:paraId="0E5849A9" w14:textId="0505F500" w:rsidR="00634FD2" w:rsidRPr="00C679A3" w:rsidRDefault="00634FD2">
      <w:pPr>
        <w:rPr>
          <w:rFonts w:cstheme="minorHAnsi"/>
        </w:rPr>
      </w:pPr>
      <w:r w:rsidRPr="00A625EE">
        <w:rPr>
          <w:rFonts w:cstheme="minorHAnsi"/>
          <w:b/>
          <w:bCs/>
        </w:rPr>
        <w:t>Akut behandling av svår hypertoni</w:t>
      </w:r>
      <w:r w:rsidRPr="00A625EE">
        <w:rPr>
          <w:rFonts w:cstheme="minorHAnsi"/>
        </w:rPr>
        <w:t>.</w:t>
      </w:r>
    </w:p>
    <w:p w14:paraId="0A8BEC3E" w14:textId="57BB7361" w:rsidR="009053C5" w:rsidRPr="008E08C6" w:rsidRDefault="009053C5">
      <w:pPr>
        <w:rPr>
          <w:rFonts w:cstheme="minorHAnsi"/>
        </w:rPr>
      </w:pPr>
      <w:r w:rsidRPr="008E08C6">
        <w:rPr>
          <w:rFonts w:cstheme="minorHAnsi"/>
        </w:rPr>
        <w:t xml:space="preserve">I de </w:t>
      </w:r>
      <w:r w:rsidRPr="008E08C6">
        <w:rPr>
          <w:rFonts w:cstheme="minorHAnsi"/>
          <w:i/>
          <w:iCs/>
        </w:rPr>
        <w:t>svenska riktlinjerna för behandling av hypertoni under graviditet</w:t>
      </w:r>
      <w:r w:rsidRPr="00A54952">
        <w:rPr>
          <w:rFonts w:cstheme="minorHAnsi"/>
        </w:rPr>
        <w:t xml:space="preserve"> rekommendera</w:t>
      </w:r>
      <w:r w:rsidR="00A629FA" w:rsidRPr="00401B88">
        <w:rPr>
          <w:rFonts w:cstheme="minorHAnsi"/>
        </w:rPr>
        <w:t>s</w:t>
      </w:r>
      <w:r w:rsidRPr="00A625EE">
        <w:rPr>
          <w:rFonts w:cstheme="minorHAnsi"/>
        </w:rPr>
        <w:t xml:space="preserve"> </w:t>
      </w:r>
      <w:proofErr w:type="spellStart"/>
      <w:r w:rsidRPr="00A625EE">
        <w:rPr>
          <w:rFonts w:cstheme="minorHAnsi"/>
        </w:rPr>
        <w:t>nifedipin</w:t>
      </w:r>
      <w:proofErr w:type="spellEnd"/>
      <w:r w:rsidRPr="00A625EE">
        <w:rPr>
          <w:rFonts w:cstheme="minorHAnsi"/>
        </w:rPr>
        <w:t xml:space="preserve"> eller </w:t>
      </w:r>
      <w:proofErr w:type="spellStart"/>
      <w:r w:rsidRPr="00A625EE">
        <w:rPr>
          <w:rFonts w:cstheme="minorHAnsi"/>
        </w:rPr>
        <w:t>labetalol</w:t>
      </w:r>
      <w:proofErr w:type="spellEnd"/>
      <w:r w:rsidRPr="00A625EE">
        <w:rPr>
          <w:rFonts w:cstheme="minorHAnsi"/>
        </w:rPr>
        <w:t xml:space="preserve"> som förstahand</w:t>
      </w:r>
      <w:r w:rsidR="00A629FA" w:rsidRPr="00A625EE">
        <w:rPr>
          <w:rFonts w:cstheme="minorHAnsi"/>
        </w:rPr>
        <w:t>s</w:t>
      </w:r>
      <w:r w:rsidRPr="00C679A3">
        <w:rPr>
          <w:rFonts w:cstheme="minorHAnsi"/>
        </w:rPr>
        <w:t xml:space="preserve">preparat för oral behandling av svår hypertoni </w:t>
      </w:r>
    </w:p>
    <w:p w14:paraId="529A4DD8" w14:textId="53575120" w:rsidR="005C33EC" w:rsidRPr="008E08C6" w:rsidRDefault="009053C5" w:rsidP="005C33EC">
      <w:pPr>
        <w:rPr>
          <w:rFonts w:cstheme="minorHAnsi"/>
        </w:rPr>
      </w:pPr>
      <w:r w:rsidRPr="008E08C6">
        <w:rPr>
          <w:rFonts w:cstheme="minorHAnsi"/>
        </w:rPr>
        <w:t>( &gt;</w:t>
      </w:r>
      <w:r w:rsidRPr="00A54952">
        <w:rPr>
          <w:rFonts w:cstheme="minorHAnsi"/>
        </w:rPr>
        <w:t>/= 160/1</w:t>
      </w:r>
      <w:r w:rsidR="00756E9B" w:rsidRPr="00401B88">
        <w:rPr>
          <w:rFonts w:cstheme="minorHAnsi"/>
        </w:rPr>
        <w:t>1</w:t>
      </w:r>
      <w:r w:rsidRPr="00A625EE">
        <w:rPr>
          <w:rFonts w:cstheme="minorHAnsi"/>
        </w:rPr>
        <w:t xml:space="preserve">0 mm Hg) då inte iv tillfart finns </w:t>
      </w:r>
      <w:r w:rsidR="00A629FA" w:rsidRPr="00A625EE">
        <w:rPr>
          <w:rFonts w:cstheme="minorHAnsi"/>
        </w:rPr>
        <w:t>tillgänglig eller vid initial behandling</w:t>
      </w:r>
      <w:r w:rsidRPr="00C679A3">
        <w:rPr>
          <w:rFonts w:cstheme="minorHAnsi"/>
        </w:rPr>
        <w:t xml:space="preserve"> inom </w:t>
      </w:r>
      <w:proofErr w:type="spellStart"/>
      <w:r w:rsidRPr="00C679A3">
        <w:rPr>
          <w:rFonts w:cstheme="minorHAnsi"/>
        </w:rPr>
        <w:t>MHV</w:t>
      </w:r>
      <w:proofErr w:type="spellEnd"/>
      <w:r w:rsidRPr="00C679A3">
        <w:rPr>
          <w:rFonts w:cstheme="minorHAnsi"/>
        </w:rPr>
        <w:t xml:space="preserve">. En </w:t>
      </w:r>
      <w:r w:rsidR="009A25B7" w:rsidRPr="008E08C6">
        <w:rPr>
          <w:rFonts w:cstheme="minorHAnsi"/>
        </w:rPr>
        <w:t xml:space="preserve">systematisk </w:t>
      </w:r>
      <w:r w:rsidRPr="008E08C6">
        <w:rPr>
          <w:rFonts w:cstheme="minorHAnsi"/>
        </w:rPr>
        <w:t>litteratursökning och jämförelse av de båda preparaten har gjorts. Sammanfattningsvis visar de flesta studier (</w:t>
      </w:r>
      <w:proofErr w:type="spellStart"/>
      <w:r w:rsidR="005C33EC" w:rsidRPr="008E08C6">
        <w:rPr>
          <w:rFonts w:cstheme="minorHAnsi"/>
        </w:rPr>
        <w:t>Alavifard</w:t>
      </w:r>
      <w:proofErr w:type="spellEnd"/>
      <w:r w:rsidR="005C33EC" w:rsidRPr="008E08C6">
        <w:rPr>
          <w:rFonts w:cstheme="minorHAnsi"/>
        </w:rPr>
        <w:t xml:space="preserve">, 2019, Cox, 2019, </w:t>
      </w:r>
      <w:proofErr w:type="spellStart"/>
      <w:r w:rsidR="005C33EC" w:rsidRPr="008E08C6">
        <w:rPr>
          <w:rFonts w:cstheme="minorHAnsi"/>
        </w:rPr>
        <w:t>Sridharan</w:t>
      </w:r>
      <w:proofErr w:type="spellEnd"/>
      <w:r w:rsidR="005C33EC" w:rsidRPr="008E08C6">
        <w:rPr>
          <w:rFonts w:cstheme="minorHAnsi"/>
        </w:rPr>
        <w:t>,</w:t>
      </w:r>
    </w:p>
    <w:p w14:paraId="79CF8BE7" w14:textId="77777777" w:rsidR="00634FD2" w:rsidRPr="008E08C6" w:rsidRDefault="005C33EC">
      <w:pPr>
        <w:rPr>
          <w:rFonts w:cstheme="minorHAnsi"/>
        </w:rPr>
      </w:pPr>
      <w:r w:rsidRPr="008E08C6">
        <w:rPr>
          <w:rFonts w:cstheme="minorHAnsi"/>
        </w:rPr>
        <w:t xml:space="preserve">2018 </w:t>
      </w:r>
      <w:r w:rsidR="0014409C" w:rsidRPr="008E08C6">
        <w:rPr>
          <w:rFonts w:cstheme="minorHAnsi"/>
        </w:rPr>
        <w:t>)</w:t>
      </w:r>
      <w:r w:rsidR="002F0605" w:rsidRPr="008E08C6">
        <w:rPr>
          <w:rFonts w:cstheme="minorHAnsi"/>
        </w:rPr>
        <w:t xml:space="preserve"> </w:t>
      </w:r>
      <w:r w:rsidR="009053C5" w:rsidRPr="008E08C6">
        <w:rPr>
          <w:rFonts w:cstheme="minorHAnsi"/>
        </w:rPr>
        <w:t xml:space="preserve">att </w:t>
      </w:r>
      <w:proofErr w:type="spellStart"/>
      <w:r w:rsidR="009053C5" w:rsidRPr="008E08C6">
        <w:rPr>
          <w:rFonts w:cstheme="minorHAnsi"/>
        </w:rPr>
        <w:t>nif</w:t>
      </w:r>
      <w:r w:rsidR="00A629FA" w:rsidRPr="008E08C6">
        <w:rPr>
          <w:rFonts w:cstheme="minorHAnsi"/>
        </w:rPr>
        <w:t>e</w:t>
      </w:r>
      <w:r w:rsidR="009053C5" w:rsidRPr="008E08C6">
        <w:rPr>
          <w:rFonts w:cstheme="minorHAnsi"/>
        </w:rPr>
        <w:t>d</w:t>
      </w:r>
      <w:r w:rsidR="00A629FA" w:rsidRPr="008E08C6">
        <w:rPr>
          <w:rFonts w:cstheme="minorHAnsi"/>
        </w:rPr>
        <w:t>i</w:t>
      </w:r>
      <w:r w:rsidR="009053C5" w:rsidRPr="008E08C6">
        <w:rPr>
          <w:rFonts w:cstheme="minorHAnsi"/>
        </w:rPr>
        <w:t>pin</w:t>
      </w:r>
      <w:proofErr w:type="spellEnd"/>
      <w:r w:rsidR="009053C5" w:rsidRPr="008E08C6">
        <w:rPr>
          <w:rFonts w:cstheme="minorHAnsi"/>
        </w:rPr>
        <w:t xml:space="preserve"> och </w:t>
      </w:r>
      <w:proofErr w:type="spellStart"/>
      <w:r w:rsidR="009053C5" w:rsidRPr="008E08C6">
        <w:rPr>
          <w:rFonts w:cstheme="minorHAnsi"/>
        </w:rPr>
        <w:t>labetalol</w:t>
      </w:r>
      <w:proofErr w:type="spellEnd"/>
      <w:r w:rsidR="009053C5" w:rsidRPr="008E08C6">
        <w:rPr>
          <w:rFonts w:cstheme="minorHAnsi"/>
        </w:rPr>
        <w:t xml:space="preserve"> är jämförbara,</w:t>
      </w:r>
      <w:r w:rsidR="0014409C" w:rsidRPr="008E08C6">
        <w:rPr>
          <w:rFonts w:cstheme="minorHAnsi"/>
        </w:rPr>
        <w:t xml:space="preserve"> få </w:t>
      </w:r>
      <w:r w:rsidR="009A25B7" w:rsidRPr="008E08C6">
        <w:rPr>
          <w:rFonts w:cstheme="minorHAnsi"/>
        </w:rPr>
        <w:t xml:space="preserve">har </w:t>
      </w:r>
      <w:r w:rsidR="0014409C" w:rsidRPr="008E08C6">
        <w:rPr>
          <w:rFonts w:cstheme="minorHAnsi"/>
        </w:rPr>
        <w:t>studerat</w:t>
      </w:r>
      <w:r w:rsidR="009A25B7" w:rsidRPr="008E08C6">
        <w:rPr>
          <w:rFonts w:cstheme="minorHAnsi"/>
        </w:rPr>
        <w:t xml:space="preserve"> </w:t>
      </w:r>
      <w:proofErr w:type="spellStart"/>
      <w:r w:rsidR="009A25B7" w:rsidRPr="008E08C6">
        <w:rPr>
          <w:rFonts w:cstheme="minorHAnsi"/>
        </w:rPr>
        <w:t>nifedipin</w:t>
      </w:r>
      <w:proofErr w:type="spellEnd"/>
      <w:r w:rsidR="009A25B7" w:rsidRPr="008E08C6">
        <w:rPr>
          <w:rFonts w:cstheme="minorHAnsi"/>
        </w:rPr>
        <w:t xml:space="preserve"> jämfört med</w:t>
      </w:r>
      <w:r w:rsidR="0014409C" w:rsidRPr="008E08C6">
        <w:rPr>
          <w:rFonts w:cstheme="minorHAnsi"/>
        </w:rPr>
        <w:t xml:space="preserve"> oral tillförsel av </w:t>
      </w:r>
      <w:proofErr w:type="spellStart"/>
      <w:r w:rsidR="0014409C" w:rsidRPr="008E08C6">
        <w:rPr>
          <w:rFonts w:cstheme="minorHAnsi"/>
        </w:rPr>
        <w:t>labetalol</w:t>
      </w:r>
      <w:proofErr w:type="spellEnd"/>
      <w:r w:rsidR="002F0605" w:rsidRPr="008E08C6">
        <w:rPr>
          <w:rFonts w:cstheme="minorHAnsi"/>
        </w:rPr>
        <w:t xml:space="preserve"> (</w:t>
      </w:r>
      <w:proofErr w:type="spellStart"/>
      <w:r w:rsidR="00E663C0" w:rsidRPr="008E08C6">
        <w:rPr>
          <w:rFonts w:cstheme="minorHAnsi"/>
        </w:rPr>
        <w:t>Easterling</w:t>
      </w:r>
      <w:proofErr w:type="spellEnd"/>
      <w:r w:rsidR="00E663C0" w:rsidRPr="008E08C6">
        <w:rPr>
          <w:rFonts w:cstheme="minorHAnsi"/>
        </w:rPr>
        <w:t>, 2019)</w:t>
      </w:r>
      <w:r w:rsidR="009A25B7" w:rsidRPr="008E08C6">
        <w:rPr>
          <w:rFonts w:cstheme="minorHAnsi"/>
        </w:rPr>
        <w:t>.</w:t>
      </w:r>
      <w:r w:rsidR="005A3D43" w:rsidRPr="008E08C6">
        <w:rPr>
          <w:rFonts w:cstheme="minorHAnsi"/>
        </w:rPr>
        <w:t xml:space="preserve"> </w:t>
      </w:r>
      <w:proofErr w:type="spellStart"/>
      <w:r w:rsidR="009A25B7" w:rsidRPr="008E08C6">
        <w:rPr>
          <w:rFonts w:cstheme="minorHAnsi"/>
        </w:rPr>
        <w:t>N</w:t>
      </w:r>
      <w:r w:rsidR="009053C5" w:rsidRPr="008E08C6">
        <w:rPr>
          <w:rFonts w:cstheme="minorHAnsi"/>
        </w:rPr>
        <w:t>ifedipin</w:t>
      </w:r>
      <w:proofErr w:type="spellEnd"/>
      <w:r w:rsidR="009053C5" w:rsidRPr="008E08C6">
        <w:rPr>
          <w:rFonts w:cstheme="minorHAnsi"/>
        </w:rPr>
        <w:t xml:space="preserve"> </w:t>
      </w:r>
      <w:r w:rsidR="009A25B7" w:rsidRPr="008E08C6">
        <w:rPr>
          <w:rFonts w:cstheme="minorHAnsi"/>
        </w:rPr>
        <w:t xml:space="preserve"> har </w:t>
      </w:r>
      <w:r w:rsidR="009053C5" w:rsidRPr="008E08C6">
        <w:rPr>
          <w:rFonts w:cstheme="minorHAnsi"/>
        </w:rPr>
        <w:t>i enstaka studier haft ett snabbare anslag avseende sänkning av blodtryck</w:t>
      </w:r>
      <w:r w:rsidR="003405F9" w:rsidRPr="008E08C6">
        <w:rPr>
          <w:rFonts w:cstheme="minorHAnsi"/>
        </w:rPr>
        <w:t xml:space="preserve"> än iv </w:t>
      </w:r>
      <w:proofErr w:type="spellStart"/>
      <w:r w:rsidR="003405F9" w:rsidRPr="008E08C6">
        <w:rPr>
          <w:rFonts w:cstheme="minorHAnsi"/>
        </w:rPr>
        <w:t>labetalol</w:t>
      </w:r>
      <w:proofErr w:type="spellEnd"/>
      <w:r w:rsidR="003405F9" w:rsidRPr="008E08C6">
        <w:rPr>
          <w:rFonts w:cstheme="minorHAnsi"/>
        </w:rPr>
        <w:t xml:space="preserve"> och </w:t>
      </w:r>
      <w:proofErr w:type="spellStart"/>
      <w:r w:rsidR="003405F9" w:rsidRPr="008E08C6">
        <w:rPr>
          <w:rFonts w:cstheme="minorHAnsi"/>
        </w:rPr>
        <w:t>hydralazin</w:t>
      </w:r>
      <w:proofErr w:type="spellEnd"/>
      <w:r w:rsidRPr="008E08C6">
        <w:rPr>
          <w:rFonts w:cstheme="minorHAnsi"/>
        </w:rPr>
        <w:t xml:space="preserve"> </w:t>
      </w:r>
      <w:r w:rsidR="009A25B7" w:rsidRPr="008E08C6">
        <w:rPr>
          <w:rFonts w:cstheme="minorHAnsi"/>
        </w:rPr>
        <w:t>(</w:t>
      </w:r>
      <w:proofErr w:type="spellStart"/>
      <w:r w:rsidRPr="008E08C6">
        <w:rPr>
          <w:rFonts w:cstheme="minorHAnsi"/>
        </w:rPr>
        <w:t>Vermillion</w:t>
      </w:r>
      <w:proofErr w:type="spellEnd"/>
      <w:r w:rsidRPr="008E08C6">
        <w:rPr>
          <w:rFonts w:cstheme="minorHAnsi"/>
        </w:rPr>
        <w:t xml:space="preserve">, 1999, </w:t>
      </w:r>
      <w:proofErr w:type="spellStart"/>
      <w:r w:rsidRPr="008E08C6">
        <w:rPr>
          <w:rFonts w:cstheme="minorHAnsi"/>
        </w:rPr>
        <w:t>Rezaei</w:t>
      </w:r>
      <w:proofErr w:type="spellEnd"/>
      <w:r w:rsidRPr="008E08C6">
        <w:rPr>
          <w:rFonts w:cstheme="minorHAnsi"/>
        </w:rPr>
        <w:t>, 2011 )</w:t>
      </w:r>
      <w:r w:rsidR="009053C5" w:rsidRPr="008E08C6">
        <w:rPr>
          <w:rFonts w:cstheme="minorHAnsi"/>
        </w:rPr>
        <w:t>.</w:t>
      </w:r>
    </w:p>
    <w:p w14:paraId="1F81BEB8" w14:textId="77777777" w:rsidR="00634FD2" w:rsidRPr="008E08C6" w:rsidRDefault="00634FD2">
      <w:pPr>
        <w:rPr>
          <w:rFonts w:cstheme="minorHAnsi"/>
        </w:rPr>
      </w:pPr>
    </w:p>
    <w:p w14:paraId="393D41BB" w14:textId="4B323414" w:rsidR="00154631" w:rsidRPr="008E08C6" w:rsidRDefault="00634FD2">
      <w:pPr>
        <w:rPr>
          <w:rFonts w:cstheme="minorHAnsi"/>
        </w:rPr>
      </w:pPr>
      <w:r w:rsidRPr="008E08C6">
        <w:rPr>
          <w:rFonts w:cstheme="minorHAnsi"/>
          <w:b/>
          <w:bCs/>
        </w:rPr>
        <w:t>Underhållsbehandling vid svår hypertoni</w:t>
      </w:r>
      <w:r w:rsidRPr="008E08C6">
        <w:rPr>
          <w:rFonts w:cstheme="minorHAnsi"/>
        </w:rPr>
        <w:t xml:space="preserve"> </w:t>
      </w:r>
    </w:p>
    <w:p w14:paraId="34F2B594" w14:textId="7E261A4E" w:rsidR="009053C5" w:rsidRPr="008E08C6" w:rsidRDefault="00634FD2">
      <w:pPr>
        <w:rPr>
          <w:rFonts w:cstheme="minorHAnsi"/>
        </w:rPr>
      </w:pPr>
      <w:r w:rsidRPr="008E08C6">
        <w:rPr>
          <w:rFonts w:cstheme="minorHAnsi"/>
        </w:rPr>
        <w:t>Vid behov av underhållsbehandling</w:t>
      </w:r>
      <w:r w:rsidR="00154631" w:rsidRPr="008E08C6">
        <w:rPr>
          <w:rFonts w:cstheme="minorHAnsi"/>
        </w:rPr>
        <w:t xml:space="preserve"> där tredje preparat är aktuell</w:t>
      </w:r>
      <w:r w:rsidRPr="008E08C6">
        <w:rPr>
          <w:rFonts w:cstheme="minorHAnsi"/>
        </w:rPr>
        <w:t xml:space="preserve"> med tillägg av Ca-blockerare så rekommenderas under graviditet </w:t>
      </w:r>
      <w:proofErr w:type="spellStart"/>
      <w:r w:rsidRPr="008E08C6">
        <w:rPr>
          <w:rFonts w:cstheme="minorHAnsi"/>
        </w:rPr>
        <w:t>nifedipin</w:t>
      </w:r>
      <w:proofErr w:type="spellEnd"/>
      <w:r w:rsidRPr="008E08C6">
        <w:rPr>
          <w:rFonts w:cstheme="minorHAnsi"/>
        </w:rPr>
        <w:t>.</w:t>
      </w:r>
      <w:r w:rsidR="009053C5" w:rsidRPr="008E08C6">
        <w:rPr>
          <w:rFonts w:cstheme="minorHAnsi"/>
        </w:rPr>
        <w:t xml:space="preserve"> </w:t>
      </w:r>
    </w:p>
    <w:p w14:paraId="34D076FB" w14:textId="77777777" w:rsidR="00154631" w:rsidRPr="008E08C6" w:rsidRDefault="00154631">
      <w:pPr>
        <w:rPr>
          <w:rFonts w:cstheme="minorHAnsi"/>
        </w:rPr>
      </w:pPr>
    </w:p>
    <w:p w14:paraId="0928E060" w14:textId="6004C9EA" w:rsidR="00154631" w:rsidRPr="008E08C6" w:rsidRDefault="00154631">
      <w:pPr>
        <w:rPr>
          <w:rFonts w:cstheme="minorHAnsi"/>
        </w:rPr>
      </w:pPr>
      <w:r w:rsidRPr="008E08C6">
        <w:rPr>
          <w:rFonts w:cstheme="minorHAnsi"/>
          <w:b/>
          <w:bCs/>
        </w:rPr>
        <w:t xml:space="preserve">Licens vid </w:t>
      </w:r>
      <w:proofErr w:type="spellStart"/>
      <w:r w:rsidRPr="008E08C6">
        <w:rPr>
          <w:rFonts w:cstheme="minorHAnsi"/>
          <w:b/>
          <w:bCs/>
        </w:rPr>
        <w:t>nifedipin</w:t>
      </w:r>
      <w:proofErr w:type="spellEnd"/>
    </w:p>
    <w:p w14:paraId="77802F52" w14:textId="5F2EA927" w:rsidR="00A629FA" w:rsidRPr="00401B88" w:rsidRDefault="009053C5">
      <w:pPr>
        <w:rPr>
          <w:rFonts w:cstheme="minorHAnsi"/>
        </w:rPr>
      </w:pPr>
      <w:proofErr w:type="spellStart"/>
      <w:r w:rsidRPr="008E08C6">
        <w:rPr>
          <w:rFonts w:cstheme="minorHAnsi"/>
        </w:rPr>
        <w:t>Nifedipin</w:t>
      </w:r>
      <w:proofErr w:type="spellEnd"/>
      <w:r w:rsidRPr="008E08C6">
        <w:rPr>
          <w:rFonts w:cstheme="minorHAnsi"/>
        </w:rPr>
        <w:t xml:space="preserve"> kan erhållas via licen</w:t>
      </w:r>
      <w:r w:rsidR="00A54952">
        <w:rPr>
          <w:rFonts w:cstheme="minorHAnsi"/>
        </w:rPr>
        <w:t>s</w:t>
      </w:r>
      <w:r w:rsidRPr="00A54952">
        <w:rPr>
          <w:rFonts w:cstheme="minorHAnsi"/>
        </w:rPr>
        <w:t xml:space="preserve"> och det finns internationellt fler</w:t>
      </w:r>
      <w:r w:rsidR="0090148C" w:rsidRPr="00A54952">
        <w:rPr>
          <w:rFonts w:cstheme="minorHAnsi"/>
        </w:rPr>
        <w:t>a</w:t>
      </w:r>
      <w:r w:rsidRPr="00A54952">
        <w:rPr>
          <w:rFonts w:cstheme="minorHAnsi"/>
        </w:rPr>
        <w:t xml:space="preserve"> preparat inklusive generiska preparat</w:t>
      </w:r>
      <w:r w:rsidR="00A629FA" w:rsidRPr="00A54952">
        <w:rPr>
          <w:rFonts w:cstheme="minorHAnsi"/>
        </w:rPr>
        <w:t xml:space="preserve">. </w:t>
      </w:r>
      <w:r w:rsidR="00154631" w:rsidRPr="00A54952">
        <w:rPr>
          <w:rFonts w:cstheme="minorHAnsi"/>
        </w:rPr>
        <w:t>Sjukhusa</w:t>
      </w:r>
      <w:r w:rsidR="00A629FA" w:rsidRPr="00A54952">
        <w:rPr>
          <w:rFonts w:cstheme="minorHAnsi"/>
        </w:rPr>
        <w:t>poteket tillhandahåller förslag på lämpligt preparat för licenssökning. Preparat kan ändras över tid. Vanligast är att kliniker söker egna licenser</w:t>
      </w:r>
      <w:r w:rsidR="00E663C0" w:rsidRPr="00A54952">
        <w:rPr>
          <w:rFonts w:cstheme="minorHAnsi"/>
        </w:rPr>
        <w:t>.</w:t>
      </w:r>
      <w:r w:rsidR="00A629FA" w:rsidRPr="00401B88">
        <w:rPr>
          <w:rFonts w:cstheme="minorHAnsi"/>
        </w:rPr>
        <w:t xml:space="preserve"> </w:t>
      </w:r>
    </w:p>
    <w:p w14:paraId="4CE7F1AD" w14:textId="5E6CC86C" w:rsidR="00A625EE" w:rsidRPr="00A625EE" w:rsidRDefault="00154631" w:rsidP="00A625EE">
      <w:pPr>
        <w:pStyle w:val="Kommentarer"/>
        <w:rPr>
          <w:rFonts w:cstheme="minorHAnsi"/>
          <w:sz w:val="24"/>
          <w:szCs w:val="24"/>
        </w:rPr>
      </w:pPr>
      <w:r w:rsidRPr="00A625EE">
        <w:rPr>
          <w:rFonts w:cstheme="minorHAnsi"/>
          <w:sz w:val="24"/>
          <w:szCs w:val="24"/>
        </w:rPr>
        <w:t>Även L</w:t>
      </w:r>
      <w:r w:rsidR="009F3623" w:rsidRPr="00A625EE">
        <w:rPr>
          <w:rFonts w:cstheme="minorHAnsi"/>
          <w:sz w:val="24"/>
          <w:szCs w:val="24"/>
        </w:rPr>
        <w:t xml:space="preserve">äkemedelsverket </w:t>
      </w:r>
      <w:r w:rsidR="00A54952" w:rsidRPr="00A625EE">
        <w:rPr>
          <w:rFonts w:cstheme="minorHAnsi"/>
          <w:sz w:val="24"/>
          <w:szCs w:val="24"/>
        </w:rPr>
        <w:t xml:space="preserve"> hänv</w:t>
      </w:r>
      <w:r w:rsidR="00A54952" w:rsidRPr="008E08C6">
        <w:rPr>
          <w:rFonts w:cstheme="minorHAnsi"/>
          <w:sz w:val="24"/>
          <w:szCs w:val="24"/>
        </w:rPr>
        <w:t>isar till lokalt sjukhusapotek</w:t>
      </w:r>
      <w:r w:rsidR="00A54952" w:rsidRPr="00A625EE">
        <w:rPr>
          <w:rFonts w:cstheme="minorHAnsi"/>
          <w:sz w:val="24"/>
          <w:szCs w:val="24"/>
        </w:rPr>
        <w:t xml:space="preserve"> för licens för </w:t>
      </w:r>
      <w:proofErr w:type="spellStart"/>
      <w:r w:rsidR="00A54952" w:rsidRPr="00A625EE">
        <w:rPr>
          <w:rFonts w:cstheme="minorHAnsi"/>
          <w:sz w:val="24"/>
          <w:szCs w:val="24"/>
        </w:rPr>
        <w:t>nifedipin</w:t>
      </w:r>
      <w:proofErr w:type="spellEnd"/>
      <w:r w:rsidR="00A625EE" w:rsidRPr="00A625EE">
        <w:rPr>
          <w:rFonts w:cstheme="minorHAnsi"/>
          <w:sz w:val="24"/>
          <w:szCs w:val="24"/>
        </w:rPr>
        <w:t xml:space="preserve"> </w:t>
      </w:r>
    </w:p>
    <w:p w14:paraId="06C6B27E" w14:textId="77777777" w:rsidR="008E08C6" w:rsidRDefault="003B209E" w:rsidP="008E08C6">
      <w:hyperlink r:id="rId7" w:tgtFrame="_blank" w:history="1">
        <w:r w:rsidR="008E08C6">
          <w:rPr>
            <w:rStyle w:val="Hyperlnk"/>
            <w:rFonts w:ascii="Calibri" w:hAnsi="Calibri" w:cs="Calibri"/>
          </w:rPr>
          <w:t>www.lakemedelsverket.se/licens</w:t>
        </w:r>
      </w:hyperlink>
    </w:p>
    <w:p w14:paraId="3BB00629" w14:textId="0FBA3E34" w:rsidR="00634FD2" w:rsidRPr="00A54952" w:rsidRDefault="00634FD2">
      <w:pPr>
        <w:rPr>
          <w:rFonts w:cstheme="minorHAnsi"/>
        </w:rPr>
      </w:pPr>
    </w:p>
    <w:p w14:paraId="7802CD94" w14:textId="76588C5B" w:rsidR="00634FD2" w:rsidRPr="00C679A3" w:rsidRDefault="00634FD2" w:rsidP="00E30B22">
      <w:pPr>
        <w:rPr>
          <w:rFonts w:cstheme="minorHAnsi"/>
        </w:rPr>
      </w:pPr>
      <w:r w:rsidRPr="00A625EE">
        <w:rPr>
          <w:rFonts w:cstheme="minorHAnsi"/>
        </w:rPr>
        <w:t xml:space="preserve">Exempel på alternativa </w:t>
      </w:r>
      <w:proofErr w:type="spellStart"/>
      <w:r w:rsidRPr="00A625EE">
        <w:rPr>
          <w:rFonts w:cstheme="minorHAnsi"/>
        </w:rPr>
        <w:t>nifedipinpreparat</w:t>
      </w:r>
      <w:proofErr w:type="spellEnd"/>
      <w:r w:rsidR="00D50386" w:rsidRPr="00A625EE">
        <w:rPr>
          <w:rFonts w:cstheme="minorHAnsi"/>
        </w:rPr>
        <w:t>:</w:t>
      </w:r>
    </w:p>
    <w:p w14:paraId="1500659D" w14:textId="17132DE3" w:rsidR="00634FD2" w:rsidRPr="00A54952" w:rsidRDefault="008145FC" w:rsidP="00634FD2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A54952">
        <w:rPr>
          <w:rFonts w:cstheme="minorHAnsi"/>
          <w:b/>
          <w:bCs/>
          <w:color w:val="000000"/>
        </w:rPr>
        <w:t>UK</w:t>
      </w:r>
    </w:p>
    <w:p w14:paraId="4B46FBEB" w14:textId="3E0D8029" w:rsidR="00634FD2" w:rsidRPr="00A54952" w:rsidRDefault="00634FD2" w:rsidP="00EC7602">
      <w:pPr>
        <w:autoSpaceDE w:val="0"/>
        <w:autoSpaceDN w:val="0"/>
        <w:adjustRightInd w:val="0"/>
        <w:spacing w:after="21"/>
        <w:rPr>
          <w:rFonts w:cstheme="minorHAnsi"/>
          <w:color w:val="000000"/>
        </w:rPr>
      </w:pPr>
      <w:proofErr w:type="spellStart"/>
      <w:r w:rsidRPr="00A54952">
        <w:rPr>
          <w:rFonts w:cstheme="minorHAnsi"/>
          <w:b/>
          <w:bCs/>
          <w:color w:val="000000"/>
        </w:rPr>
        <w:t>Nifedipress</w:t>
      </w:r>
      <w:proofErr w:type="spellEnd"/>
      <w:r w:rsidRPr="00A54952">
        <w:rPr>
          <w:rFonts w:cstheme="minorHAnsi"/>
          <w:b/>
          <w:bCs/>
          <w:color w:val="000000"/>
        </w:rPr>
        <w:t xml:space="preserve"> MR</w:t>
      </w:r>
      <w:r w:rsidR="00154631" w:rsidRPr="00A54952">
        <w:rPr>
          <w:rFonts w:cstheme="minorHAnsi"/>
          <w:b/>
          <w:bCs/>
          <w:color w:val="000000"/>
        </w:rPr>
        <w:t>,</w:t>
      </w:r>
      <w:r w:rsidR="00D50386" w:rsidRPr="00A54952">
        <w:rPr>
          <w:rFonts w:cstheme="minorHAnsi"/>
          <w:b/>
          <w:bCs/>
          <w:color w:val="000000"/>
        </w:rPr>
        <w:t xml:space="preserve"> </w:t>
      </w:r>
      <w:proofErr w:type="spellStart"/>
      <w:r w:rsidR="00D50386" w:rsidRPr="00A54952">
        <w:rPr>
          <w:rFonts w:cstheme="minorHAnsi"/>
          <w:bCs/>
          <w:color w:val="000000"/>
        </w:rPr>
        <w:t>nifedipin</w:t>
      </w:r>
      <w:proofErr w:type="spellEnd"/>
      <w:r w:rsidR="00154631" w:rsidRPr="00A54952">
        <w:rPr>
          <w:rFonts w:cstheme="minorHAnsi"/>
          <w:bCs/>
          <w:color w:val="000000"/>
        </w:rPr>
        <w:t xml:space="preserve"> </w:t>
      </w:r>
      <w:r w:rsidRPr="00A54952">
        <w:rPr>
          <w:rFonts w:cstheme="minorHAnsi"/>
          <w:color w:val="000000"/>
        </w:rPr>
        <w:t>10</w:t>
      </w:r>
      <w:r w:rsidR="00154631" w:rsidRPr="00A54952">
        <w:rPr>
          <w:rFonts w:cstheme="minorHAnsi"/>
          <w:color w:val="000000"/>
        </w:rPr>
        <w:t xml:space="preserve"> </w:t>
      </w:r>
      <w:r w:rsidRPr="00A54952">
        <w:rPr>
          <w:rFonts w:cstheme="minorHAnsi"/>
          <w:color w:val="000000"/>
        </w:rPr>
        <w:t xml:space="preserve">mg </w:t>
      </w:r>
      <w:r w:rsidR="00154631" w:rsidRPr="00A54952">
        <w:rPr>
          <w:rFonts w:cstheme="minorHAnsi"/>
          <w:color w:val="000000"/>
        </w:rPr>
        <w:t>eller</w:t>
      </w:r>
      <w:r w:rsidRPr="00A54952">
        <w:rPr>
          <w:rFonts w:cstheme="minorHAnsi"/>
          <w:color w:val="000000"/>
        </w:rPr>
        <w:t xml:space="preserve"> 20</w:t>
      </w:r>
      <w:r w:rsidR="00154631" w:rsidRPr="00A54952">
        <w:rPr>
          <w:rFonts w:cstheme="minorHAnsi"/>
          <w:color w:val="000000"/>
        </w:rPr>
        <w:t xml:space="preserve"> </w:t>
      </w:r>
      <w:r w:rsidRPr="00A54952">
        <w:rPr>
          <w:rFonts w:cstheme="minorHAnsi"/>
          <w:color w:val="000000"/>
        </w:rPr>
        <w:t xml:space="preserve">mg </w:t>
      </w:r>
    </w:p>
    <w:p w14:paraId="7D3B55F0" w14:textId="3B5A3C6F" w:rsidR="00634FD2" w:rsidRPr="00A54952" w:rsidRDefault="00634FD2">
      <w:pPr>
        <w:autoSpaceDE w:val="0"/>
        <w:autoSpaceDN w:val="0"/>
        <w:adjustRightInd w:val="0"/>
        <w:rPr>
          <w:rFonts w:cstheme="minorHAnsi"/>
          <w:color w:val="000000"/>
        </w:rPr>
      </w:pPr>
      <w:proofErr w:type="spellStart"/>
      <w:r w:rsidRPr="00A54952">
        <w:rPr>
          <w:rFonts w:cstheme="minorHAnsi"/>
          <w:b/>
          <w:bCs/>
          <w:color w:val="000000"/>
        </w:rPr>
        <w:t>Adipine</w:t>
      </w:r>
      <w:proofErr w:type="spellEnd"/>
      <w:r w:rsidRPr="00A54952">
        <w:rPr>
          <w:rFonts w:cstheme="minorHAnsi"/>
          <w:b/>
          <w:bCs/>
          <w:color w:val="000000"/>
        </w:rPr>
        <w:t xml:space="preserve"> XL</w:t>
      </w:r>
      <w:r w:rsidR="00154631" w:rsidRPr="00A54952">
        <w:rPr>
          <w:rFonts w:cstheme="minorHAnsi"/>
          <w:b/>
          <w:bCs/>
          <w:color w:val="000000"/>
        </w:rPr>
        <w:t xml:space="preserve">, </w:t>
      </w:r>
      <w:r w:rsidRPr="00A54952">
        <w:rPr>
          <w:rFonts w:cstheme="minorHAnsi"/>
          <w:color w:val="000000"/>
        </w:rPr>
        <w:t xml:space="preserve"> </w:t>
      </w:r>
      <w:proofErr w:type="spellStart"/>
      <w:r w:rsidR="00D50386" w:rsidRPr="00A54952">
        <w:rPr>
          <w:rFonts w:cstheme="minorHAnsi"/>
          <w:color w:val="000000"/>
        </w:rPr>
        <w:t>nifedipin</w:t>
      </w:r>
      <w:proofErr w:type="spellEnd"/>
      <w:r w:rsidR="00D50386" w:rsidRPr="00A54952">
        <w:rPr>
          <w:rFonts w:cstheme="minorHAnsi"/>
          <w:color w:val="000000"/>
        </w:rPr>
        <w:t xml:space="preserve"> </w:t>
      </w:r>
      <w:r w:rsidRPr="00A54952">
        <w:rPr>
          <w:rFonts w:cstheme="minorHAnsi"/>
          <w:color w:val="000000"/>
        </w:rPr>
        <w:t>30</w:t>
      </w:r>
      <w:r w:rsidR="00154631" w:rsidRPr="00A54952">
        <w:rPr>
          <w:rFonts w:cstheme="minorHAnsi"/>
          <w:color w:val="000000"/>
        </w:rPr>
        <w:t xml:space="preserve"> </w:t>
      </w:r>
      <w:r w:rsidRPr="00A54952">
        <w:rPr>
          <w:rFonts w:cstheme="minorHAnsi"/>
          <w:color w:val="000000"/>
        </w:rPr>
        <w:t xml:space="preserve">mg </w:t>
      </w:r>
      <w:r w:rsidR="00154631" w:rsidRPr="00A54952">
        <w:rPr>
          <w:rFonts w:cstheme="minorHAnsi"/>
          <w:color w:val="000000"/>
        </w:rPr>
        <w:t xml:space="preserve">eller </w:t>
      </w:r>
      <w:r w:rsidRPr="00A54952">
        <w:rPr>
          <w:rFonts w:cstheme="minorHAnsi"/>
          <w:color w:val="000000"/>
        </w:rPr>
        <w:t>60</w:t>
      </w:r>
      <w:r w:rsidR="00154631" w:rsidRPr="00A54952">
        <w:rPr>
          <w:rFonts w:cstheme="minorHAnsi"/>
          <w:color w:val="000000"/>
        </w:rPr>
        <w:t xml:space="preserve"> </w:t>
      </w:r>
      <w:r w:rsidRPr="00A54952">
        <w:rPr>
          <w:rFonts w:cstheme="minorHAnsi"/>
          <w:color w:val="000000"/>
        </w:rPr>
        <w:t>mg</w:t>
      </w:r>
      <w:r w:rsidR="00154631" w:rsidRPr="00A54952">
        <w:rPr>
          <w:rFonts w:cstheme="minorHAnsi"/>
          <w:color w:val="000000"/>
        </w:rPr>
        <w:t xml:space="preserve"> depåpreparat</w:t>
      </w:r>
      <w:r w:rsidRPr="00A54952">
        <w:rPr>
          <w:rFonts w:cstheme="minorHAnsi"/>
          <w:color w:val="000000"/>
        </w:rPr>
        <w:t xml:space="preserve">. </w:t>
      </w:r>
    </w:p>
    <w:p w14:paraId="3FF17C6B" w14:textId="77777777" w:rsidR="000E63ED" w:rsidRPr="00A54952" w:rsidRDefault="000E63ED" w:rsidP="000E63ED">
      <w:pPr>
        <w:pStyle w:val="Default"/>
        <w:rPr>
          <w:rFonts w:asciiTheme="minorHAnsi" w:hAnsiTheme="minorHAnsi" w:cstheme="minorHAnsi"/>
        </w:rPr>
      </w:pPr>
    </w:p>
    <w:p w14:paraId="465DDF69" w14:textId="0E10EF0C" w:rsidR="008145FC" w:rsidRPr="00A54952" w:rsidRDefault="008145FC" w:rsidP="000E63ED">
      <w:pPr>
        <w:pStyle w:val="Default"/>
        <w:rPr>
          <w:rFonts w:asciiTheme="minorHAnsi" w:hAnsiTheme="minorHAnsi" w:cstheme="minorHAnsi"/>
          <w:b/>
          <w:bCs/>
        </w:rPr>
      </w:pPr>
      <w:r w:rsidRPr="00A54952">
        <w:rPr>
          <w:rFonts w:asciiTheme="minorHAnsi" w:hAnsiTheme="minorHAnsi" w:cstheme="minorHAnsi"/>
          <w:b/>
          <w:bCs/>
        </w:rPr>
        <w:t>Tyskland</w:t>
      </w:r>
    </w:p>
    <w:p w14:paraId="338ACDCA" w14:textId="6ECDD344" w:rsidR="000E63ED" w:rsidRPr="00A54952" w:rsidRDefault="000E63ED" w:rsidP="000E63ED">
      <w:pPr>
        <w:pStyle w:val="Default"/>
        <w:rPr>
          <w:rFonts w:asciiTheme="minorHAnsi" w:hAnsiTheme="minorHAnsi" w:cstheme="minorHAnsi"/>
          <w:b/>
          <w:bCs/>
        </w:rPr>
      </w:pPr>
      <w:proofErr w:type="spellStart"/>
      <w:r w:rsidRPr="00A54952">
        <w:rPr>
          <w:rFonts w:asciiTheme="minorHAnsi" w:hAnsiTheme="minorHAnsi" w:cstheme="minorHAnsi"/>
          <w:b/>
          <w:bCs/>
        </w:rPr>
        <w:t>Nifedipin</w:t>
      </w:r>
      <w:proofErr w:type="spellEnd"/>
      <w:r w:rsidRPr="00A54952">
        <w:rPr>
          <w:rFonts w:asciiTheme="minorHAnsi" w:hAnsiTheme="minorHAnsi" w:cstheme="minorHAnsi"/>
          <w:b/>
          <w:bCs/>
        </w:rPr>
        <w:t xml:space="preserve"> AL 5</w:t>
      </w:r>
      <w:r w:rsidR="00D50386" w:rsidRPr="00A54952">
        <w:rPr>
          <w:rFonts w:asciiTheme="minorHAnsi" w:hAnsiTheme="minorHAnsi" w:cstheme="minorHAnsi"/>
          <w:b/>
          <w:bCs/>
        </w:rPr>
        <w:t>,</w:t>
      </w:r>
      <w:r w:rsidRPr="00A54952">
        <w:rPr>
          <w:rFonts w:asciiTheme="minorHAnsi" w:hAnsiTheme="minorHAnsi" w:cstheme="minorHAnsi"/>
          <w:b/>
          <w:bCs/>
        </w:rPr>
        <w:t xml:space="preserve"> </w:t>
      </w:r>
      <w:r w:rsidR="00154631" w:rsidRPr="00A5495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54631" w:rsidRPr="00A54952">
        <w:rPr>
          <w:rFonts w:asciiTheme="minorHAnsi" w:hAnsiTheme="minorHAnsi" w:cstheme="minorHAnsi"/>
        </w:rPr>
        <w:t>n</w:t>
      </w:r>
      <w:r w:rsidRPr="00A54952">
        <w:rPr>
          <w:rFonts w:asciiTheme="minorHAnsi" w:hAnsiTheme="minorHAnsi" w:cstheme="minorHAnsi"/>
        </w:rPr>
        <w:t>ifedipin</w:t>
      </w:r>
      <w:proofErr w:type="spellEnd"/>
      <w:r w:rsidRPr="00A54952">
        <w:rPr>
          <w:rFonts w:asciiTheme="minorHAnsi" w:hAnsiTheme="minorHAnsi" w:cstheme="minorHAnsi"/>
        </w:rPr>
        <w:t xml:space="preserve"> 5 mg </w:t>
      </w:r>
    </w:p>
    <w:p w14:paraId="18F200A7" w14:textId="3B8EEC8E" w:rsidR="00803A79" w:rsidRPr="00A54952" w:rsidRDefault="000E63ED" w:rsidP="000E63ED">
      <w:pPr>
        <w:pStyle w:val="Default"/>
        <w:rPr>
          <w:rFonts w:asciiTheme="minorHAnsi" w:hAnsiTheme="minorHAnsi" w:cstheme="minorHAnsi"/>
        </w:rPr>
      </w:pPr>
      <w:proofErr w:type="spellStart"/>
      <w:r w:rsidRPr="00A54952">
        <w:rPr>
          <w:rFonts w:asciiTheme="minorHAnsi" w:hAnsiTheme="minorHAnsi" w:cstheme="minorHAnsi"/>
          <w:b/>
          <w:bCs/>
        </w:rPr>
        <w:t>Nifedipin</w:t>
      </w:r>
      <w:proofErr w:type="spellEnd"/>
      <w:r w:rsidRPr="00A54952">
        <w:rPr>
          <w:rFonts w:asciiTheme="minorHAnsi" w:hAnsiTheme="minorHAnsi" w:cstheme="minorHAnsi"/>
          <w:b/>
          <w:bCs/>
        </w:rPr>
        <w:t xml:space="preserve"> AL 10</w:t>
      </w:r>
      <w:r w:rsidR="00D50386" w:rsidRPr="00A54952">
        <w:rPr>
          <w:rFonts w:asciiTheme="minorHAnsi" w:hAnsiTheme="minorHAnsi" w:cstheme="minorHAnsi"/>
          <w:b/>
          <w:bCs/>
        </w:rPr>
        <w:t>,</w:t>
      </w:r>
      <w:r w:rsidRPr="00A5495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54631" w:rsidRPr="00A54952">
        <w:rPr>
          <w:rFonts w:asciiTheme="minorHAnsi" w:hAnsiTheme="minorHAnsi" w:cstheme="minorHAnsi"/>
        </w:rPr>
        <w:t>n</w:t>
      </w:r>
      <w:r w:rsidRPr="00A54952">
        <w:rPr>
          <w:rFonts w:asciiTheme="minorHAnsi" w:hAnsiTheme="minorHAnsi" w:cstheme="minorHAnsi"/>
        </w:rPr>
        <w:t>ifedipin</w:t>
      </w:r>
      <w:proofErr w:type="spellEnd"/>
      <w:r w:rsidRPr="00A54952">
        <w:rPr>
          <w:rFonts w:asciiTheme="minorHAnsi" w:hAnsiTheme="minorHAnsi" w:cstheme="minorHAnsi"/>
        </w:rPr>
        <w:t xml:space="preserve"> 10 mg</w:t>
      </w:r>
    </w:p>
    <w:p w14:paraId="386CFB0E" w14:textId="77777777" w:rsidR="00401B88" w:rsidRDefault="00401B88">
      <w:pPr>
        <w:rPr>
          <w:rFonts w:cstheme="minorHAnsi"/>
        </w:rPr>
      </w:pPr>
    </w:p>
    <w:p w14:paraId="3F18B9BE" w14:textId="77777777" w:rsidR="00144B7C" w:rsidRDefault="00144B7C">
      <w:pPr>
        <w:rPr>
          <w:rFonts w:cstheme="minorHAnsi"/>
          <w:b/>
          <w:bCs/>
        </w:rPr>
      </w:pPr>
    </w:p>
    <w:p w14:paraId="2B87BF85" w14:textId="74035675" w:rsidR="00401B88" w:rsidRPr="00144B7C" w:rsidRDefault="00401B88">
      <w:pPr>
        <w:rPr>
          <w:rFonts w:cstheme="minorHAnsi"/>
          <w:b/>
          <w:bCs/>
        </w:rPr>
      </w:pPr>
      <w:r w:rsidRPr="00144B7C">
        <w:rPr>
          <w:rFonts w:cstheme="minorHAnsi"/>
          <w:b/>
          <w:bCs/>
        </w:rPr>
        <w:t>Andra Ca-blockerare</w:t>
      </w:r>
    </w:p>
    <w:p w14:paraId="6D2D3DC4" w14:textId="37BD4B6D" w:rsidR="00154631" w:rsidRPr="00401B88" w:rsidRDefault="00A629FA">
      <w:pPr>
        <w:rPr>
          <w:rFonts w:cstheme="minorHAnsi"/>
          <w:b/>
          <w:bCs/>
        </w:rPr>
      </w:pPr>
      <w:r w:rsidRPr="00401B88">
        <w:rPr>
          <w:rFonts w:cstheme="minorHAnsi"/>
        </w:rPr>
        <w:t xml:space="preserve">Arbetsgruppen för preeklampsi avråder från användande av </w:t>
      </w:r>
      <w:r w:rsidR="00401B88">
        <w:rPr>
          <w:rFonts w:cstheme="minorHAnsi"/>
        </w:rPr>
        <w:t xml:space="preserve">vid graviditet </w:t>
      </w:r>
      <w:r w:rsidRPr="00401B88">
        <w:rPr>
          <w:rFonts w:cstheme="minorHAnsi"/>
        </w:rPr>
        <w:t>icke-utvärderade Ca-blockerare utanför studier</w:t>
      </w:r>
      <w:r w:rsidR="00401B88">
        <w:rPr>
          <w:rFonts w:cstheme="minorHAnsi"/>
        </w:rPr>
        <w:t>.</w:t>
      </w:r>
    </w:p>
    <w:p w14:paraId="63C45F90" w14:textId="74B69074" w:rsidR="00154631" w:rsidRDefault="00154631">
      <w:pPr>
        <w:rPr>
          <w:rFonts w:cstheme="minorHAnsi"/>
          <w:b/>
          <w:bCs/>
        </w:rPr>
      </w:pPr>
    </w:p>
    <w:p w14:paraId="1AD095DF" w14:textId="4F125CDC" w:rsidR="00401B88" w:rsidRDefault="00401B88">
      <w:pPr>
        <w:rPr>
          <w:rFonts w:cstheme="minorHAnsi"/>
          <w:b/>
          <w:bCs/>
        </w:rPr>
      </w:pPr>
    </w:p>
    <w:p w14:paraId="3DCECDAD" w14:textId="65B37972" w:rsidR="007425B0" w:rsidRPr="00A54952" w:rsidRDefault="007425B0">
      <w:pPr>
        <w:rPr>
          <w:rFonts w:cstheme="minorHAnsi"/>
          <w:b/>
          <w:bCs/>
        </w:rPr>
      </w:pPr>
      <w:r w:rsidRPr="00A54952">
        <w:rPr>
          <w:rFonts w:cstheme="minorHAnsi"/>
          <w:b/>
          <w:bCs/>
        </w:rPr>
        <w:lastRenderedPageBreak/>
        <w:t>Systematisk litteratursökning</w:t>
      </w:r>
    </w:p>
    <w:p w14:paraId="5EA453C6" w14:textId="77777777" w:rsidR="007425B0" w:rsidRPr="00401B88" w:rsidRDefault="007425B0">
      <w:pPr>
        <w:rPr>
          <w:rFonts w:cstheme="minorHAnsi"/>
        </w:rPr>
      </w:pPr>
    </w:p>
    <w:p w14:paraId="41255306" w14:textId="6EFE5226" w:rsidR="00A629FA" w:rsidRPr="00144B7C" w:rsidRDefault="009A25B7">
      <w:pPr>
        <w:rPr>
          <w:rFonts w:cstheme="minorHAnsi"/>
        </w:rPr>
      </w:pPr>
      <w:r w:rsidRPr="001F7523">
        <w:rPr>
          <w:rFonts w:cstheme="minorHAnsi"/>
        </w:rPr>
        <w:t xml:space="preserve">Den systematiska </w:t>
      </w:r>
      <w:r w:rsidR="00756E9B" w:rsidRPr="001F7523">
        <w:rPr>
          <w:rFonts w:cstheme="minorHAnsi"/>
        </w:rPr>
        <w:t>l</w:t>
      </w:r>
      <w:r w:rsidR="00A629FA" w:rsidRPr="00A625EE">
        <w:rPr>
          <w:rFonts w:cstheme="minorHAnsi"/>
        </w:rPr>
        <w:t>it</w:t>
      </w:r>
      <w:r w:rsidR="000B1540" w:rsidRPr="00C679A3">
        <w:rPr>
          <w:rFonts w:cstheme="minorHAnsi"/>
        </w:rPr>
        <w:t>t</w:t>
      </w:r>
      <w:r w:rsidR="00A629FA" w:rsidRPr="008E08C6">
        <w:rPr>
          <w:rFonts w:cstheme="minorHAnsi"/>
        </w:rPr>
        <w:t>eratursökning</w:t>
      </w:r>
      <w:r w:rsidRPr="008E08C6">
        <w:rPr>
          <w:rFonts w:cstheme="minorHAnsi"/>
        </w:rPr>
        <w:t>en</w:t>
      </w:r>
      <w:r w:rsidR="00A629FA" w:rsidRPr="008E08C6">
        <w:rPr>
          <w:rFonts w:cstheme="minorHAnsi"/>
        </w:rPr>
        <w:t xml:space="preserve"> har gjorts</w:t>
      </w:r>
      <w:r w:rsidR="007138D4" w:rsidRPr="008E08C6">
        <w:rPr>
          <w:rFonts w:cstheme="minorHAnsi"/>
        </w:rPr>
        <w:t xml:space="preserve"> </w:t>
      </w:r>
      <w:r w:rsidR="009A68BF" w:rsidRPr="008E08C6">
        <w:rPr>
          <w:rFonts w:cstheme="minorHAnsi"/>
        </w:rPr>
        <w:t>25</w:t>
      </w:r>
      <w:r w:rsidR="007138D4" w:rsidRPr="00144B7C">
        <w:rPr>
          <w:rFonts w:cstheme="minorHAnsi"/>
        </w:rPr>
        <w:t xml:space="preserve"> juni 2020</w:t>
      </w:r>
      <w:r w:rsidR="00A629FA" w:rsidRPr="00144B7C">
        <w:rPr>
          <w:rFonts w:cstheme="minorHAnsi"/>
        </w:rPr>
        <w:t xml:space="preserve"> av bibliotekarie Therese Svanberg, sjukhusbiblioteket, Sahlgrenska s</w:t>
      </w:r>
      <w:r w:rsidR="00392266" w:rsidRPr="00144B7C">
        <w:rPr>
          <w:rFonts w:cstheme="minorHAnsi"/>
        </w:rPr>
        <w:t>jukhuset, Göteborg</w:t>
      </w:r>
      <w:r w:rsidR="007138D4" w:rsidRPr="00144B7C">
        <w:rPr>
          <w:rFonts w:cstheme="minorHAnsi"/>
        </w:rPr>
        <w:t xml:space="preserve"> (bilaga litteratursökning)</w:t>
      </w:r>
      <w:r w:rsidR="00392266" w:rsidRPr="00144B7C">
        <w:rPr>
          <w:rFonts w:cstheme="minorHAnsi"/>
        </w:rPr>
        <w:t>.</w:t>
      </w:r>
      <w:r w:rsidR="007138D4" w:rsidRPr="00144B7C">
        <w:rPr>
          <w:rFonts w:cstheme="minorHAnsi"/>
        </w:rPr>
        <w:t xml:space="preserve"> </w:t>
      </w:r>
      <w:r w:rsidR="00392266" w:rsidRPr="00144B7C">
        <w:rPr>
          <w:rFonts w:cstheme="minorHAnsi"/>
        </w:rPr>
        <w:t xml:space="preserve"> Granskning av lit</w:t>
      </w:r>
      <w:r w:rsidRPr="00144B7C">
        <w:rPr>
          <w:rFonts w:cstheme="minorHAnsi"/>
        </w:rPr>
        <w:t>t</w:t>
      </w:r>
      <w:r w:rsidR="00392266" w:rsidRPr="00144B7C">
        <w:rPr>
          <w:rFonts w:cstheme="minorHAnsi"/>
        </w:rPr>
        <w:t>er</w:t>
      </w:r>
      <w:r w:rsidRPr="00144B7C">
        <w:rPr>
          <w:rFonts w:cstheme="minorHAnsi"/>
        </w:rPr>
        <w:t>a</w:t>
      </w:r>
      <w:r w:rsidR="00392266" w:rsidRPr="00144B7C">
        <w:rPr>
          <w:rFonts w:cstheme="minorHAnsi"/>
        </w:rPr>
        <w:t>tur har gjorts av Ulla-Britt Wennerholm och Margareta Hellgren, Obstetrikenheten, Sahlgrenska sjukhuset, Göteborg</w:t>
      </w:r>
      <w:r w:rsidR="00D463CC" w:rsidRPr="00144B7C">
        <w:rPr>
          <w:rFonts w:cstheme="minorHAnsi"/>
        </w:rPr>
        <w:t xml:space="preserve"> på uppdrag av Preeklampsi-ARG.</w:t>
      </w:r>
      <w:r w:rsidR="00392266" w:rsidRPr="00144B7C">
        <w:rPr>
          <w:rFonts w:cstheme="minorHAnsi"/>
        </w:rPr>
        <w:t xml:space="preserve"> Titlar och abstract</w:t>
      </w:r>
      <w:r w:rsidR="006B1DB2" w:rsidRPr="00144B7C">
        <w:rPr>
          <w:rFonts w:cstheme="minorHAnsi"/>
        </w:rPr>
        <w:t>s</w:t>
      </w:r>
      <w:r w:rsidR="00392266" w:rsidRPr="00144B7C">
        <w:rPr>
          <w:rFonts w:cstheme="minorHAnsi"/>
        </w:rPr>
        <w:t xml:space="preserve"> har granskats</w:t>
      </w:r>
      <w:r w:rsidR="007138D4" w:rsidRPr="00144B7C">
        <w:rPr>
          <w:rFonts w:cstheme="minorHAnsi"/>
        </w:rPr>
        <w:t xml:space="preserve"> (n=795)</w:t>
      </w:r>
      <w:r w:rsidR="00392266" w:rsidRPr="00144B7C">
        <w:rPr>
          <w:rFonts w:cstheme="minorHAnsi"/>
        </w:rPr>
        <w:t xml:space="preserve"> och </w:t>
      </w:r>
      <w:r w:rsidR="00D463CC" w:rsidRPr="00144B7C">
        <w:rPr>
          <w:rFonts w:cstheme="minorHAnsi"/>
        </w:rPr>
        <w:t xml:space="preserve">5 </w:t>
      </w:r>
      <w:r w:rsidR="00392266" w:rsidRPr="00144B7C">
        <w:rPr>
          <w:rFonts w:cstheme="minorHAnsi"/>
        </w:rPr>
        <w:t xml:space="preserve"> fulltext artiklar bedömdes. I följande tabell presenteras resultatet från </w:t>
      </w:r>
      <w:r w:rsidR="00D463CC" w:rsidRPr="00144B7C">
        <w:rPr>
          <w:rFonts w:cstheme="minorHAnsi"/>
        </w:rPr>
        <w:t>dessa.</w:t>
      </w:r>
    </w:p>
    <w:p w14:paraId="1F5CDF04" w14:textId="48E46249" w:rsidR="00154631" w:rsidRPr="00144B7C" w:rsidRDefault="00154631">
      <w:pPr>
        <w:rPr>
          <w:rFonts w:cstheme="minorHAnsi"/>
        </w:rPr>
      </w:pPr>
    </w:p>
    <w:p w14:paraId="7C9B6F72" w14:textId="1B962F3A" w:rsidR="00154631" w:rsidRPr="00144B7C" w:rsidRDefault="00154631">
      <w:pPr>
        <w:rPr>
          <w:rFonts w:cstheme="minorHAnsi"/>
        </w:rPr>
      </w:pPr>
      <w:r w:rsidRPr="00144B7C">
        <w:rPr>
          <w:rFonts w:cstheme="minorHAnsi"/>
        </w:rPr>
        <w:t xml:space="preserve">Tabell Litteraturgenomgång avseende </w:t>
      </w:r>
      <w:r w:rsidRPr="00144B7C">
        <w:rPr>
          <w:rFonts w:cstheme="minorHAnsi"/>
          <w:b/>
          <w:bCs/>
        </w:rPr>
        <w:t>akut behandling</w:t>
      </w:r>
      <w:r w:rsidRPr="00144B7C">
        <w:rPr>
          <w:rFonts w:cstheme="minorHAnsi"/>
        </w:rPr>
        <w:t xml:space="preserve"> med </w:t>
      </w:r>
      <w:proofErr w:type="spellStart"/>
      <w:r w:rsidRPr="00144B7C">
        <w:rPr>
          <w:rFonts w:cstheme="minorHAnsi"/>
        </w:rPr>
        <w:t>nifedipin</w:t>
      </w:r>
      <w:proofErr w:type="spellEnd"/>
      <w:r w:rsidRPr="00144B7C">
        <w:rPr>
          <w:rFonts w:cstheme="minorHAnsi"/>
        </w:rPr>
        <w:t xml:space="preserve"> och </w:t>
      </w:r>
      <w:proofErr w:type="spellStart"/>
      <w:r w:rsidRPr="00144B7C">
        <w:rPr>
          <w:rFonts w:cstheme="minorHAnsi"/>
        </w:rPr>
        <w:t>labetalol</w:t>
      </w:r>
      <w:proofErr w:type="spellEnd"/>
      <w:r w:rsidRPr="00144B7C">
        <w:rPr>
          <w:rFonts w:cstheme="minorHAnsi"/>
        </w:rPr>
        <w:t xml:space="preserve"> vid svår hypertoni under graviditet.                  </w:t>
      </w:r>
    </w:p>
    <w:tbl>
      <w:tblPr>
        <w:tblStyle w:val="Tabellrutnt"/>
        <w:tblpPr w:leftFromText="141" w:rightFromText="141" w:vertAnchor="page" w:horzAnchor="margin" w:tblpY="5687"/>
        <w:tblW w:w="10343" w:type="dxa"/>
        <w:tblLook w:val="04A0" w:firstRow="1" w:lastRow="0" w:firstColumn="1" w:lastColumn="0" w:noHBand="0" w:noVBand="1"/>
      </w:tblPr>
      <w:tblGrid>
        <w:gridCol w:w="1708"/>
        <w:gridCol w:w="1899"/>
        <w:gridCol w:w="2150"/>
        <w:gridCol w:w="2537"/>
        <w:gridCol w:w="2049"/>
      </w:tblGrid>
      <w:tr w:rsidR="00154631" w:rsidRPr="00A54952" w14:paraId="2166BC37" w14:textId="77777777" w:rsidTr="00EC7602">
        <w:tc>
          <w:tcPr>
            <w:tcW w:w="1708" w:type="dxa"/>
          </w:tcPr>
          <w:p w14:paraId="6D6EBCF9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Författare, år, land</w:t>
            </w:r>
          </w:p>
        </w:tc>
        <w:tc>
          <w:tcPr>
            <w:tcW w:w="1899" w:type="dxa"/>
          </w:tcPr>
          <w:p w14:paraId="4C54922B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Design</w:t>
            </w:r>
          </w:p>
        </w:tc>
        <w:tc>
          <w:tcPr>
            <w:tcW w:w="2150" w:type="dxa"/>
          </w:tcPr>
          <w:p w14:paraId="6378633F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Behandling</w:t>
            </w:r>
          </w:p>
        </w:tc>
        <w:tc>
          <w:tcPr>
            <w:tcW w:w="2537" w:type="dxa"/>
          </w:tcPr>
          <w:p w14:paraId="1C8449BF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Resultat</w:t>
            </w:r>
          </w:p>
        </w:tc>
        <w:tc>
          <w:tcPr>
            <w:tcW w:w="2049" w:type="dxa"/>
          </w:tcPr>
          <w:p w14:paraId="1A0DE068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Kommentar</w:t>
            </w:r>
          </w:p>
        </w:tc>
      </w:tr>
      <w:tr w:rsidR="00154631" w:rsidRPr="00A54952" w14:paraId="6839D208" w14:textId="77777777" w:rsidTr="00EC7602">
        <w:tc>
          <w:tcPr>
            <w:tcW w:w="10343" w:type="dxa"/>
            <w:gridSpan w:val="5"/>
          </w:tcPr>
          <w:p w14:paraId="7D4F59ED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C679A3">
              <w:rPr>
                <w:rFonts w:cstheme="minorHAnsi"/>
                <w:sz w:val="18"/>
                <w:szCs w:val="18"/>
              </w:rPr>
              <w:t>Referenser från litteratursökning</w:t>
            </w:r>
          </w:p>
        </w:tc>
      </w:tr>
      <w:tr w:rsidR="00154631" w:rsidRPr="00A54952" w14:paraId="539A02CE" w14:textId="77777777" w:rsidTr="00EC7602">
        <w:tc>
          <w:tcPr>
            <w:tcW w:w="1708" w:type="dxa"/>
          </w:tcPr>
          <w:p w14:paraId="0D3B5D58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679A3">
              <w:rPr>
                <w:rFonts w:cstheme="minorHAnsi"/>
                <w:sz w:val="18"/>
                <w:szCs w:val="18"/>
              </w:rPr>
              <w:t>Sridharan</w:t>
            </w:r>
            <w:proofErr w:type="spellEnd"/>
            <w:r w:rsidRPr="00C679A3">
              <w:rPr>
                <w:rFonts w:cstheme="minorHAnsi"/>
                <w:sz w:val="18"/>
                <w:szCs w:val="18"/>
              </w:rPr>
              <w:t>,</w:t>
            </w:r>
          </w:p>
          <w:p w14:paraId="3978A3AE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2018</w:t>
            </w:r>
          </w:p>
          <w:p w14:paraId="642C1237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Bahrain</w:t>
            </w:r>
          </w:p>
        </w:tc>
        <w:tc>
          <w:tcPr>
            <w:tcW w:w="1899" w:type="dxa"/>
          </w:tcPr>
          <w:p w14:paraId="09C3B72D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SR (51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RCTs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)</w:t>
            </w:r>
          </w:p>
          <w:p w14:paraId="3457021B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Meta-analys (46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RCTs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150" w:type="dxa"/>
          </w:tcPr>
          <w:p w14:paraId="08F88799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Oralt </w:t>
            </w: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, </w:t>
            </w:r>
          </w:p>
          <w:p w14:paraId="4176BE7E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iv </w:t>
            </w: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,</w:t>
            </w:r>
          </w:p>
          <w:p w14:paraId="0376AD50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iv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hydralazin</w:t>
            </w:r>
            <w:proofErr w:type="spellEnd"/>
          </w:p>
          <w:p w14:paraId="7AE378C0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(även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dizoxide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nicardipine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glyceryltrinitrat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537" w:type="dxa"/>
          </w:tcPr>
          <w:p w14:paraId="039C61C7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Ingen skillnad i effekt </w:t>
            </w:r>
          </w:p>
          <w:p w14:paraId="215FC4DE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avseende primärt utfall=antal patienter som uppnått målblodtryck </w:t>
            </w:r>
          </w:p>
          <w:p w14:paraId="72104D9D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Färre doser och kortare tid tills uppnått målblodtryck med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jämfört med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hydralazin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049" w:type="dxa"/>
          </w:tcPr>
          <w:p w14:paraId="767E7F7C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Ingen evidens för att använda andra läkemedel än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eller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hydralazin</w:t>
            </w:r>
            <w:proofErr w:type="spellEnd"/>
          </w:p>
          <w:p w14:paraId="6DEDB733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631" w:rsidRPr="00A54952" w14:paraId="1644D6EC" w14:textId="77777777" w:rsidTr="00EC7602">
        <w:tc>
          <w:tcPr>
            <w:tcW w:w="1708" w:type="dxa"/>
          </w:tcPr>
          <w:p w14:paraId="566A8C99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679A3">
              <w:rPr>
                <w:rFonts w:cstheme="minorHAnsi"/>
                <w:sz w:val="18"/>
                <w:szCs w:val="18"/>
              </w:rPr>
              <w:t>ACOG</w:t>
            </w:r>
            <w:proofErr w:type="spellEnd"/>
            <w:r w:rsidRPr="00C679A3">
              <w:rPr>
                <w:rFonts w:cstheme="minorHAnsi"/>
                <w:sz w:val="18"/>
                <w:szCs w:val="18"/>
              </w:rPr>
              <w:t>,</w:t>
            </w:r>
          </w:p>
          <w:p w14:paraId="50A0BBC6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2019</w:t>
            </w:r>
          </w:p>
          <w:p w14:paraId="41506DE0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USA</w:t>
            </w:r>
          </w:p>
        </w:tc>
        <w:tc>
          <w:tcPr>
            <w:tcW w:w="1899" w:type="dxa"/>
          </w:tcPr>
          <w:p w14:paraId="45940723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Rekommendationer</w:t>
            </w:r>
          </w:p>
        </w:tc>
        <w:tc>
          <w:tcPr>
            <w:tcW w:w="2150" w:type="dxa"/>
          </w:tcPr>
          <w:p w14:paraId="5AE29E9B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Oralt </w:t>
            </w: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, </w:t>
            </w:r>
          </w:p>
          <w:p w14:paraId="42EB98CB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iv </w:t>
            </w: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,</w:t>
            </w:r>
          </w:p>
          <w:p w14:paraId="63518095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iv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hydralazin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537" w:type="dxa"/>
          </w:tcPr>
          <w:p w14:paraId="48BEAFFE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Lika effektiva men möjligen snabbare insatt effekt av</w:t>
            </w:r>
          </w:p>
          <w:p w14:paraId="56727146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</w:t>
            </w:r>
            <w:proofErr w:type="spellEnd"/>
          </w:p>
        </w:tc>
        <w:tc>
          <w:tcPr>
            <w:tcW w:w="2049" w:type="dxa"/>
          </w:tcPr>
          <w:p w14:paraId="7F7067A3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Refererar till två studier, se nedan sist i denna tabell</w:t>
            </w:r>
          </w:p>
        </w:tc>
      </w:tr>
      <w:tr w:rsidR="00154631" w:rsidRPr="00A54952" w14:paraId="17362905" w14:textId="77777777" w:rsidTr="00EC7602">
        <w:trPr>
          <w:trHeight w:val="2034"/>
        </w:trPr>
        <w:tc>
          <w:tcPr>
            <w:tcW w:w="1708" w:type="dxa"/>
          </w:tcPr>
          <w:p w14:paraId="69F5D534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679A3">
              <w:rPr>
                <w:rFonts w:cstheme="minorHAnsi"/>
                <w:sz w:val="18"/>
                <w:szCs w:val="18"/>
              </w:rPr>
              <w:t>Alavifard</w:t>
            </w:r>
            <w:proofErr w:type="spellEnd"/>
            <w:r w:rsidRPr="00C679A3">
              <w:rPr>
                <w:rFonts w:cstheme="minorHAnsi"/>
                <w:sz w:val="18"/>
                <w:szCs w:val="18"/>
              </w:rPr>
              <w:t>,</w:t>
            </w:r>
          </w:p>
          <w:p w14:paraId="170111F2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2019</w:t>
            </w:r>
          </w:p>
          <w:p w14:paraId="1F1A3387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Kanada</w:t>
            </w:r>
          </w:p>
        </w:tc>
        <w:tc>
          <w:tcPr>
            <w:tcW w:w="1899" w:type="dxa"/>
          </w:tcPr>
          <w:p w14:paraId="4B3787E0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SR (17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RCTSs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)</w:t>
            </w:r>
          </w:p>
          <w:p w14:paraId="2C64814E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Meta-analys</w:t>
            </w:r>
          </w:p>
        </w:tc>
        <w:tc>
          <w:tcPr>
            <w:tcW w:w="2150" w:type="dxa"/>
          </w:tcPr>
          <w:p w14:paraId="26C15A84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Oralt </w:t>
            </w: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,</w:t>
            </w:r>
          </w:p>
          <w:p w14:paraId="62BA30E0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iv </w:t>
            </w: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,</w:t>
            </w:r>
          </w:p>
          <w:p w14:paraId="1BF1E0B0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iv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hydralazin</w:t>
            </w:r>
            <w:proofErr w:type="spellEnd"/>
          </w:p>
        </w:tc>
        <w:tc>
          <w:tcPr>
            <w:tcW w:w="2537" w:type="dxa"/>
          </w:tcPr>
          <w:p w14:paraId="29457537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bättre än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hydralazin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avseende effekt, ingen skillnad avseende säkerhet.</w:t>
            </w:r>
          </w:p>
          <w:p w14:paraId="68AE7813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jämförbart med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avseende effekt och säkerhet.</w:t>
            </w:r>
          </w:p>
          <w:p w14:paraId="08415A7B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jämförbart med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hydralazin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avseende effekt och säkerhet.</w:t>
            </w:r>
          </w:p>
        </w:tc>
        <w:tc>
          <w:tcPr>
            <w:tcW w:w="2049" w:type="dxa"/>
          </w:tcPr>
          <w:p w14:paraId="4E38D189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Primärt utfall: Effektiv behandling av svår hypertoni.</w:t>
            </w:r>
          </w:p>
          <w:p w14:paraId="74CB5F17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Sekundära utfall:</w:t>
            </w:r>
          </w:p>
          <w:p w14:paraId="390BEBE5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säkerhet,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sectio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maternella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och fetala komplikationer</w:t>
            </w:r>
          </w:p>
          <w:p w14:paraId="19657175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  <w:p w14:paraId="63BE50FF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631" w:rsidRPr="00A54952" w14:paraId="38FE072A" w14:textId="77777777" w:rsidTr="00EC7602">
        <w:tc>
          <w:tcPr>
            <w:tcW w:w="1708" w:type="dxa"/>
          </w:tcPr>
          <w:p w14:paraId="13D06B41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C679A3">
              <w:rPr>
                <w:rFonts w:cstheme="minorHAnsi"/>
                <w:sz w:val="18"/>
                <w:szCs w:val="18"/>
              </w:rPr>
              <w:t>Cox,</w:t>
            </w:r>
          </w:p>
          <w:p w14:paraId="3DAF4633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2019</w:t>
            </w:r>
          </w:p>
          <w:p w14:paraId="0824E51A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USA</w:t>
            </w:r>
          </w:p>
        </w:tc>
        <w:tc>
          <w:tcPr>
            <w:tcW w:w="1899" w:type="dxa"/>
          </w:tcPr>
          <w:p w14:paraId="0A75D05E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Icke-systematisk översikt</w:t>
            </w:r>
          </w:p>
        </w:tc>
        <w:tc>
          <w:tcPr>
            <w:tcW w:w="2150" w:type="dxa"/>
          </w:tcPr>
          <w:p w14:paraId="64C76948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Oralt </w:t>
            </w: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,</w:t>
            </w:r>
          </w:p>
          <w:p w14:paraId="511EE5C4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iv (akut behandling)</w:t>
            </w:r>
          </w:p>
          <w:p w14:paraId="29617EA6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 och </w:t>
            </w:r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oralt </w:t>
            </w: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(underhållsbehandling),</w:t>
            </w:r>
          </w:p>
          <w:p w14:paraId="1C44761B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(även iv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hydralazin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methyldopa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och andra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antihypertensiva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medel)</w:t>
            </w:r>
          </w:p>
        </w:tc>
        <w:tc>
          <w:tcPr>
            <w:tcW w:w="2537" w:type="dxa"/>
          </w:tcPr>
          <w:p w14:paraId="0973AE72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minst lika effektivt som iv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och iv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hydralazin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.</w:t>
            </w:r>
          </w:p>
          <w:p w14:paraId="35F80D94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Hydralazin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mer biverkningar (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maternella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hypotension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).</w:t>
            </w:r>
          </w:p>
          <w:p w14:paraId="082DA928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Oral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mer uttalad perifer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vasodilatation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14:paraId="5ABF1475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Mindre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myokardpåverkan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med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än iv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.</w:t>
            </w:r>
          </w:p>
          <w:p w14:paraId="6F80BDCB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Hydralazin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rek ej längre som ”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first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line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”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beh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154631" w:rsidRPr="00A54952" w14:paraId="3150DD58" w14:textId="77777777" w:rsidTr="00EC7602">
        <w:trPr>
          <w:trHeight w:val="1986"/>
        </w:trPr>
        <w:tc>
          <w:tcPr>
            <w:tcW w:w="1708" w:type="dxa"/>
          </w:tcPr>
          <w:p w14:paraId="046597D3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679A3">
              <w:rPr>
                <w:rFonts w:cstheme="minorHAnsi"/>
                <w:sz w:val="18"/>
                <w:szCs w:val="18"/>
              </w:rPr>
              <w:t>Easterling</w:t>
            </w:r>
            <w:proofErr w:type="spellEnd"/>
            <w:r w:rsidRPr="00C679A3">
              <w:rPr>
                <w:rFonts w:cstheme="minorHAnsi"/>
                <w:sz w:val="18"/>
                <w:szCs w:val="18"/>
              </w:rPr>
              <w:t>,</w:t>
            </w:r>
          </w:p>
          <w:p w14:paraId="487E2AA8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2019</w:t>
            </w:r>
          </w:p>
          <w:p w14:paraId="2B3740EE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Canada</w:t>
            </w:r>
          </w:p>
          <w:p w14:paraId="01C2B265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</w:tcPr>
          <w:p w14:paraId="25428E8E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Multicenter,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open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label</w:t>
            </w:r>
            <w:proofErr w:type="spellEnd"/>
          </w:p>
          <w:p w14:paraId="0563AA78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RCT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(2 centra i Indien)</w:t>
            </w:r>
          </w:p>
        </w:tc>
        <w:tc>
          <w:tcPr>
            <w:tcW w:w="2150" w:type="dxa"/>
          </w:tcPr>
          <w:p w14:paraId="5B8F6FA5" w14:textId="77777777" w:rsidR="00154631" w:rsidRPr="00144B7C" w:rsidRDefault="00154631" w:rsidP="001546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Oralt </w:t>
            </w: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10 mg/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tim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(total dos 30 mg) (n=298),</w:t>
            </w:r>
            <w:r w:rsidRPr="00144B7C">
              <w:rPr>
                <w:rFonts w:cstheme="minorHAnsi"/>
                <w:b/>
                <w:bCs/>
                <w:sz w:val="18"/>
                <w:szCs w:val="18"/>
              </w:rPr>
              <w:t>oralt</w:t>
            </w:r>
          </w:p>
          <w:p w14:paraId="28BAF3AB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200 mg/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tim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(total dos 600 mg)</w:t>
            </w:r>
          </w:p>
          <w:p w14:paraId="2722C216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(n=295),</w:t>
            </w:r>
          </w:p>
          <w:p w14:paraId="7B7C8D19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methyldopa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n=301)</w:t>
            </w:r>
          </w:p>
        </w:tc>
        <w:tc>
          <w:tcPr>
            <w:tcW w:w="2537" w:type="dxa"/>
          </w:tcPr>
          <w:p w14:paraId="743DE061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minst lika bra som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,</w:t>
            </w:r>
          </w:p>
          <w:p w14:paraId="04D5E373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Primärt utfall 84% vs 77% (p=0.05).</w:t>
            </w:r>
          </w:p>
          <w:p w14:paraId="1C837025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Färre i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nifedipingruppen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fick behandling med ytterligare annat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antihypertensivt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preparat 1% vs 9%.</w:t>
            </w:r>
          </w:p>
        </w:tc>
        <w:tc>
          <w:tcPr>
            <w:tcW w:w="2049" w:type="dxa"/>
          </w:tcPr>
          <w:p w14:paraId="79720C36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Primärt effektmål var blodtryckskontroll inom 6 timmar utan negativa effekter</w:t>
            </w:r>
          </w:p>
          <w:p w14:paraId="274B6C7A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  <w:p w14:paraId="138D5DB6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631" w:rsidRPr="00A54952" w14:paraId="1D813930" w14:textId="77777777" w:rsidTr="00EC7602">
        <w:tc>
          <w:tcPr>
            <w:tcW w:w="10343" w:type="dxa"/>
            <w:gridSpan w:val="5"/>
          </w:tcPr>
          <w:p w14:paraId="064844BA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C679A3">
              <w:rPr>
                <w:rFonts w:cstheme="minorHAnsi"/>
                <w:sz w:val="18"/>
                <w:szCs w:val="18"/>
              </w:rPr>
              <w:t xml:space="preserve">Referenser från </w:t>
            </w:r>
            <w:proofErr w:type="spellStart"/>
            <w:r w:rsidRPr="00C679A3">
              <w:rPr>
                <w:rFonts w:cstheme="minorHAnsi"/>
                <w:sz w:val="18"/>
                <w:szCs w:val="18"/>
              </w:rPr>
              <w:t>ACOG</w:t>
            </w:r>
            <w:proofErr w:type="spellEnd"/>
            <w:r w:rsidRPr="00C679A3">
              <w:rPr>
                <w:rFonts w:cstheme="minorHAnsi"/>
                <w:sz w:val="18"/>
                <w:szCs w:val="18"/>
              </w:rPr>
              <w:t xml:space="preserve"> 2019. Ingår i </w:t>
            </w:r>
            <w:proofErr w:type="spellStart"/>
            <w:r w:rsidRPr="00C679A3">
              <w:rPr>
                <w:rFonts w:cstheme="minorHAnsi"/>
                <w:sz w:val="18"/>
                <w:szCs w:val="18"/>
              </w:rPr>
              <w:t>Cochrane</w:t>
            </w:r>
            <w:proofErr w:type="spellEnd"/>
            <w:r w:rsidRPr="00C679A3">
              <w:rPr>
                <w:rFonts w:cstheme="minorHAnsi"/>
                <w:sz w:val="18"/>
                <w:szCs w:val="18"/>
              </w:rPr>
              <w:t xml:space="preserve"> översikten från 2013 (</w:t>
            </w:r>
            <w:proofErr w:type="spellStart"/>
            <w:r w:rsidRPr="00C679A3">
              <w:rPr>
                <w:rFonts w:cstheme="minorHAnsi"/>
                <w:sz w:val="18"/>
                <w:szCs w:val="18"/>
              </w:rPr>
              <w:t>Duley</w:t>
            </w:r>
            <w:proofErr w:type="spellEnd"/>
            <w:r w:rsidRPr="00C679A3">
              <w:rPr>
                <w:rFonts w:cstheme="minorHAnsi"/>
                <w:sz w:val="18"/>
                <w:szCs w:val="18"/>
              </w:rPr>
              <w:t xml:space="preserve"> et al, 2013) som ingår i ARG </w:t>
            </w:r>
            <w:r w:rsidRPr="008E08C6">
              <w:rPr>
                <w:rFonts w:cstheme="minorHAnsi"/>
                <w:sz w:val="18"/>
                <w:szCs w:val="18"/>
              </w:rPr>
              <w:t>rapporten från 2019.</w:t>
            </w:r>
          </w:p>
        </w:tc>
      </w:tr>
      <w:tr w:rsidR="00154631" w:rsidRPr="00A54952" w14:paraId="5C9526AC" w14:textId="77777777" w:rsidTr="00EC7602">
        <w:tc>
          <w:tcPr>
            <w:tcW w:w="1708" w:type="dxa"/>
          </w:tcPr>
          <w:p w14:paraId="017BA0F6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679A3">
              <w:rPr>
                <w:rFonts w:cstheme="minorHAnsi"/>
                <w:sz w:val="18"/>
                <w:szCs w:val="18"/>
              </w:rPr>
              <w:t>Vermillion</w:t>
            </w:r>
            <w:proofErr w:type="spellEnd"/>
            <w:r w:rsidRPr="00C679A3">
              <w:rPr>
                <w:rFonts w:cstheme="minorHAnsi"/>
                <w:sz w:val="18"/>
                <w:szCs w:val="18"/>
              </w:rPr>
              <w:t>,</w:t>
            </w:r>
          </w:p>
          <w:p w14:paraId="7EDAAB85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1999</w:t>
            </w:r>
          </w:p>
          <w:p w14:paraId="25F30953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USA</w:t>
            </w:r>
          </w:p>
        </w:tc>
        <w:tc>
          <w:tcPr>
            <w:tcW w:w="1899" w:type="dxa"/>
          </w:tcPr>
          <w:p w14:paraId="77B98BD7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RCT</w:t>
            </w:r>
            <w:proofErr w:type="spellEnd"/>
          </w:p>
        </w:tc>
        <w:tc>
          <w:tcPr>
            <w:tcW w:w="2150" w:type="dxa"/>
          </w:tcPr>
          <w:p w14:paraId="2436BD61" w14:textId="184CD23B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Oralt </w:t>
            </w: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 (N</w:t>
            </w:r>
            <w:r w:rsidRPr="00144B7C">
              <w:rPr>
                <w:rFonts w:cstheme="minorHAnsi"/>
                <w:sz w:val="18"/>
                <w:szCs w:val="18"/>
              </w:rPr>
              <w:t xml:space="preserve">), 10 mg, sen 20 mg var 20 min upp till max 5 doser </w:t>
            </w:r>
          </w:p>
          <w:p w14:paraId="630BF8E5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(n=25)</w:t>
            </w:r>
          </w:p>
          <w:p w14:paraId="5D584E0B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iv </w:t>
            </w: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 (L),</w:t>
            </w:r>
            <w:r w:rsidRPr="00144B7C">
              <w:rPr>
                <w:rFonts w:cstheme="minorHAnsi"/>
                <w:sz w:val="18"/>
                <w:szCs w:val="18"/>
              </w:rPr>
              <w:t xml:space="preserve"> 20 mg, sen 40 mg, 80 mg, 80 mg, 80 mg, 20 min intervall, upp till max 5 doser (n=25)</w:t>
            </w:r>
          </w:p>
        </w:tc>
        <w:tc>
          <w:tcPr>
            <w:tcW w:w="2537" w:type="dxa"/>
          </w:tcPr>
          <w:p w14:paraId="34CFDCF7" w14:textId="77777777" w:rsidR="00FC0A57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lastRenderedPageBreak/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snabbare än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labetalol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(medel [SD]) = tid till</w:t>
            </w:r>
          </w:p>
          <w:p w14:paraId="1FB6E892" w14:textId="55E106D4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 BT&lt; 160/100 mm Hg</w:t>
            </w:r>
          </w:p>
          <w:p w14:paraId="4704E415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N=25.0 (13.6) min</w:t>
            </w:r>
          </w:p>
          <w:p w14:paraId="21AED891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lastRenderedPageBreak/>
              <w:t>L=43.6 (25.4) min</w:t>
            </w:r>
          </w:p>
          <w:p w14:paraId="4BB6EB79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(p=0.002)</w:t>
            </w:r>
          </w:p>
          <w:p w14:paraId="43744EA8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  <w:p w14:paraId="5FFA6ABB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ökad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diures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14:paraId="24DD70C3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lastRenderedPageBreak/>
              <w:t xml:space="preserve">Svår hypertoni </w:t>
            </w:r>
          </w:p>
          <w:p w14:paraId="5E3BA0BC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(</w:t>
            </w:r>
            <w:r w:rsidRPr="00A54952">
              <w:rPr>
                <w:rFonts w:cstheme="minorHAnsi"/>
                <w:sz w:val="18"/>
                <w:szCs w:val="18"/>
              </w:rPr>
              <w:t>≥</w:t>
            </w:r>
            <w:r w:rsidRPr="00C679A3">
              <w:rPr>
                <w:rFonts w:cstheme="minorHAnsi"/>
                <w:sz w:val="18"/>
                <w:szCs w:val="18"/>
              </w:rPr>
              <w:t>170/105 mm Hg)</w:t>
            </w:r>
          </w:p>
          <w:p w14:paraId="30923978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E08C6">
              <w:rPr>
                <w:rFonts w:cstheme="minorHAnsi"/>
                <w:sz w:val="18"/>
                <w:szCs w:val="18"/>
              </w:rPr>
              <w:t>intrapartum</w:t>
            </w:r>
            <w:proofErr w:type="spellEnd"/>
            <w:r w:rsidRPr="008E08C6">
              <w:rPr>
                <w:rFonts w:cstheme="minorHAnsi"/>
                <w:sz w:val="18"/>
                <w:szCs w:val="18"/>
              </w:rPr>
              <w:t xml:space="preserve"> eller inom 24 </w:t>
            </w:r>
            <w:proofErr w:type="spellStart"/>
            <w:r w:rsidRPr="008E08C6">
              <w:rPr>
                <w:rFonts w:cstheme="minorHAnsi"/>
                <w:sz w:val="18"/>
                <w:szCs w:val="18"/>
              </w:rPr>
              <w:t>tim</w:t>
            </w:r>
            <w:proofErr w:type="spellEnd"/>
            <w:r w:rsidRPr="008E08C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E08C6">
              <w:rPr>
                <w:rFonts w:cstheme="minorHAnsi"/>
                <w:sz w:val="18"/>
                <w:szCs w:val="18"/>
              </w:rPr>
              <w:t>postpartum</w:t>
            </w:r>
            <w:proofErr w:type="spellEnd"/>
            <w:r w:rsidRPr="008E08C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B37D05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  <w:p w14:paraId="24D00D26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631" w:rsidRPr="00A54952" w14:paraId="3A5D9AB3" w14:textId="77777777" w:rsidTr="00EC7602">
        <w:tc>
          <w:tcPr>
            <w:tcW w:w="1708" w:type="dxa"/>
          </w:tcPr>
          <w:p w14:paraId="60F97358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679A3">
              <w:rPr>
                <w:rFonts w:cstheme="minorHAnsi"/>
                <w:sz w:val="18"/>
                <w:szCs w:val="18"/>
              </w:rPr>
              <w:lastRenderedPageBreak/>
              <w:t>Rezaei</w:t>
            </w:r>
            <w:proofErr w:type="spellEnd"/>
            <w:r w:rsidRPr="00C679A3">
              <w:rPr>
                <w:rFonts w:cstheme="minorHAnsi"/>
                <w:sz w:val="18"/>
                <w:szCs w:val="18"/>
              </w:rPr>
              <w:t xml:space="preserve">, </w:t>
            </w:r>
          </w:p>
          <w:p w14:paraId="5CCACF28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2011</w:t>
            </w:r>
          </w:p>
          <w:p w14:paraId="6B7A29B7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8E08C6">
              <w:rPr>
                <w:rFonts w:cstheme="minorHAnsi"/>
                <w:sz w:val="18"/>
                <w:szCs w:val="18"/>
              </w:rPr>
              <w:t>Iran</w:t>
            </w:r>
          </w:p>
        </w:tc>
        <w:tc>
          <w:tcPr>
            <w:tcW w:w="1899" w:type="dxa"/>
          </w:tcPr>
          <w:p w14:paraId="489F38CE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RCT</w:t>
            </w:r>
            <w:proofErr w:type="spellEnd"/>
          </w:p>
        </w:tc>
        <w:tc>
          <w:tcPr>
            <w:tcW w:w="2150" w:type="dxa"/>
          </w:tcPr>
          <w:p w14:paraId="1F532342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O</w:t>
            </w:r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ralt </w:t>
            </w: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44B7C">
              <w:rPr>
                <w:rFonts w:cstheme="minorHAnsi"/>
                <w:sz w:val="18"/>
                <w:szCs w:val="18"/>
              </w:rPr>
              <w:t>(N)</w:t>
            </w:r>
          </w:p>
          <w:p w14:paraId="537C6E72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10 mg, sen 20 mg var 20 min upp till max 5 doser (n=25)(n=25)</w:t>
            </w:r>
          </w:p>
          <w:p w14:paraId="67A5F297" w14:textId="77777777" w:rsidR="00154631" w:rsidRPr="00144B7C" w:rsidRDefault="00154631" w:rsidP="0015463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b/>
                <w:bCs/>
                <w:sz w:val="18"/>
                <w:szCs w:val="18"/>
              </w:rPr>
              <w:t>Hydralazin</w:t>
            </w:r>
            <w:proofErr w:type="spellEnd"/>
            <w:r w:rsidRPr="00144B7C">
              <w:rPr>
                <w:rFonts w:cstheme="minorHAnsi"/>
                <w:b/>
                <w:bCs/>
                <w:sz w:val="18"/>
                <w:szCs w:val="18"/>
              </w:rPr>
              <w:t xml:space="preserve"> (H) iv</w:t>
            </w:r>
          </w:p>
          <w:p w14:paraId="64586943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5 mg, sen 10 mg var 20 min upp till max 5 doser (n=25)</w:t>
            </w:r>
          </w:p>
        </w:tc>
        <w:tc>
          <w:tcPr>
            <w:tcW w:w="2537" w:type="dxa"/>
          </w:tcPr>
          <w:p w14:paraId="2ECB2A73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snabbare än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hydralazin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(medel [SD]) = tid till BT&lt; 150/90-100 mm Hg</w:t>
            </w:r>
          </w:p>
          <w:p w14:paraId="432841F6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N=24(10.0) min</w:t>
            </w:r>
          </w:p>
          <w:p w14:paraId="7A775F71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H=34.8(18.8) min</w:t>
            </w:r>
          </w:p>
          <w:p w14:paraId="50957387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(p=0.016). Färre doser med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107DD717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4B7C">
              <w:rPr>
                <w:rFonts w:cstheme="minorHAnsi"/>
                <w:sz w:val="18"/>
                <w:szCs w:val="18"/>
              </w:rPr>
              <w:t>Nifedipin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ökd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44B7C">
              <w:rPr>
                <w:rFonts w:cstheme="minorHAnsi"/>
                <w:sz w:val="18"/>
                <w:szCs w:val="18"/>
              </w:rPr>
              <w:t>diures</w:t>
            </w:r>
            <w:proofErr w:type="spellEnd"/>
            <w:r w:rsidRPr="00144B7C">
              <w:rPr>
                <w:rFonts w:cstheme="minorHAnsi"/>
                <w:sz w:val="18"/>
                <w:szCs w:val="18"/>
              </w:rPr>
              <w:t>.</w:t>
            </w:r>
          </w:p>
          <w:p w14:paraId="46B1470D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  <w:p w14:paraId="19FF9252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</w:tcPr>
          <w:p w14:paraId="7C9D0A09" w14:textId="77777777" w:rsidR="00154631" w:rsidRPr="00144B7C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 xml:space="preserve">Svår hypertoni </w:t>
            </w:r>
          </w:p>
          <w:p w14:paraId="2F96E897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  <w:r w:rsidRPr="00144B7C">
              <w:rPr>
                <w:rFonts w:cstheme="minorHAnsi"/>
                <w:sz w:val="18"/>
                <w:szCs w:val="18"/>
              </w:rPr>
              <w:t>(</w:t>
            </w:r>
            <w:r w:rsidRPr="00A54952">
              <w:rPr>
                <w:rFonts w:cstheme="minorHAnsi"/>
                <w:sz w:val="18"/>
                <w:szCs w:val="18"/>
              </w:rPr>
              <w:t>≥</w:t>
            </w:r>
            <w:r w:rsidRPr="00C679A3">
              <w:rPr>
                <w:rFonts w:cstheme="minorHAnsi"/>
                <w:sz w:val="18"/>
                <w:szCs w:val="18"/>
              </w:rPr>
              <w:t xml:space="preserve">170/105 mm Hg) </w:t>
            </w:r>
            <w:proofErr w:type="spellStart"/>
            <w:r w:rsidRPr="00C679A3">
              <w:rPr>
                <w:rFonts w:cstheme="minorHAnsi"/>
                <w:sz w:val="18"/>
                <w:szCs w:val="18"/>
              </w:rPr>
              <w:t>intrapartum</w:t>
            </w:r>
            <w:proofErr w:type="spellEnd"/>
          </w:p>
          <w:p w14:paraId="4B65C34B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  <w:p w14:paraId="1A01F74E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  <w:p w14:paraId="587923C1" w14:textId="77777777" w:rsidR="00154631" w:rsidRPr="008E08C6" w:rsidRDefault="00154631" w:rsidP="0015463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FEEE525" w14:textId="77777777" w:rsidR="00F10EC9" w:rsidRPr="00C679A3" w:rsidRDefault="00F10EC9">
      <w:pPr>
        <w:rPr>
          <w:rFonts w:cstheme="minorHAnsi"/>
        </w:rPr>
      </w:pPr>
    </w:p>
    <w:p w14:paraId="04728D9D" w14:textId="77777777" w:rsidR="0014409C" w:rsidRPr="008E08C6" w:rsidRDefault="0014409C">
      <w:pPr>
        <w:rPr>
          <w:rFonts w:cstheme="minorHAnsi"/>
        </w:rPr>
      </w:pPr>
    </w:p>
    <w:p w14:paraId="5F9E18BB" w14:textId="77777777" w:rsidR="009A68BF" w:rsidRPr="008E08C6" w:rsidRDefault="009A68BF">
      <w:pPr>
        <w:rPr>
          <w:rFonts w:cstheme="minorHAnsi"/>
        </w:rPr>
      </w:pPr>
    </w:p>
    <w:p w14:paraId="39AF76BC" w14:textId="381B522C" w:rsidR="00F10EC9" w:rsidRPr="008E08C6" w:rsidRDefault="00F10EC9">
      <w:pPr>
        <w:rPr>
          <w:rFonts w:cstheme="minorHAnsi"/>
        </w:rPr>
      </w:pPr>
    </w:p>
    <w:p w14:paraId="3056A756" w14:textId="77777777" w:rsidR="00EE30B0" w:rsidRPr="008E08C6" w:rsidRDefault="00EE30B0">
      <w:pPr>
        <w:rPr>
          <w:rFonts w:cstheme="minorHAnsi"/>
        </w:rPr>
      </w:pPr>
    </w:p>
    <w:p w14:paraId="075E4ED6" w14:textId="77777777" w:rsidR="00EE30B0" w:rsidRPr="00A54952" w:rsidRDefault="00EE30B0">
      <w:pPr>
        <w:rPr>
          <w:rFonts w:cstheme="minorHAnsi"/>
        </w:rPr>
      </w:pPr>
      <w:r w:rsidRPr="00A54952">
        <w:rPr>
          <w:rFonts w:cstheme="minorHAnsi"/>
          <w:noProof/>
          <w:lang w:eastAsia="sv-SE"/>
        </w:rPr>
        <w:drawing>
          <wp:inline distT="0" distB="0" distL="0" distR="0" wp14:anchorId="403A6882" wp14:editId="1BC8205D">
            <wp:extent cx="4584700" cy="1917700"/>
            <wp:effectExtent l="0" t="0" r="0" b="0"/>
            <wp:docPr id="3" name="Bildobjekt 3" descr="En bild som visar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30AE2" w14:textId="77777777" w:rsidR="00EE30B0" w:rsidRPr="00401B88" w:rsidRDefault="00EE30B0">
      <w:pPr>
        <w:rPr>
          <w:rFonts w:cstheme="minorHAnsi"/>
        </w:rPr>
      </w:pPr>
    </w:p>
    <w:p w14:paraId="37C56136" w14:textId="563948D2" w:rsidR="00EE30B0" w:rsidRPr="008E08C6" w:rsidRDefault="00EE30B0">
      <w:pPr>
        <w:rPr>
          <w:rFonts w:cstheme="minorHAnsi"/>
          <w:lang w:val="en-US"/>
        </w:rPr>
      </w:pPr>
      <w:r w:rsidRPr="001F7523">
        <w:rPr>
          <w:rFonts w:cstheme="minorHAnsi"/>
          <w:lang w:val="en-US"/>
        </w:rPr>
        <w:t>(</w:t>
      </w:r>
      <w:proofErr w:type="spellStart"/>
      <w:r w:rsidRPr="001F7523">
        <w:rPr>
          <w:rFonts w:cstheme="minorHAnsi"/>
          <w:lang w:val="en-US"/>
        </w:rPr>
        <w:t>Alavifard</w:t>
      </w:r>
      <w:proofErr w:type="spellEnd"/>
      <w:r w:rsidR="00E9405F" w:rsidRPr="001F7523">
        <w:rPr>
          <w:rFonts w:cstheme="minorHAnsi"/>
          <w:lang w:val="en-US"/>
        </w:rPr>
        <w:t>,</w:t>
      </w:r>
      <w:r w:rsidR="000D0378" w:rsidRPr="00C679A3">
        <w:rPr>
          <w:rFonts w:cstheme="minorHAnsi"/>
          <w:lang w:val="en-US"/>
        </w:rPr>
        <w:t xml:space="preserve"> </w:t>
      </w:r>
      <w:r w:rsidR="00E9405F" w:rsidRPr="008E08C6">
        <w:rPr>
          <w:rFonts w:cstheme="minorHAnsi"/>
          <w:lang w:val="en-US"/>
        </w:rPr>
        <w:t>2019</w:t>
      </w:r>
      <w:r w:rsidRPr="008E08C6">
        <w:rPr>
          <w:rFonts w:cstheme="minorHAnsi"/>
          <w:lang w:val="en-US"/>
        </w:rPr>
        <w:t>)</w:t>
      </w:r>
    </w:p>
    <w:p w14:paraId="2A2F17AE" w14:textId="77777777" w:rsidR="00E9405F" w:rsidRPr="008E08C6" w:rsidRDefault="00E9405F">
      <w:pPr>
        <w:rPr>
          <w:rFonts w:cstheme="minorHAnsi"/>
          <w:lang w:val="en-US"/>
        </w:rPr>
      </w:pPr>
    </w:p>
    <w:p w14:paraId="6BAC377D" w14:textId="77777777" w:rsidR="00E9405F" w:rsidRPr="008E08C6" w:rsidRDefault="00E9405F">
      <w:pPr>
        <w:rPr>
          <w:rFonts w:cstheme="minorHAnsi"/>
          <w:lang w:val="en-US"/>
        </w:rPr>
      </w:pPr>
    </w:p>
    <w:p w14:paraId="48D9A8FA" w14:textId="77777777" w:rsidR="00E9405F" w:rsidRPr="00144B7C" w:rsidRDefault="00E9405F">
      <w:pPr>
        <w:rPr>
          <w:rFonts w:cstheme="minorHAnsi"/>
          <w:b/>
          <w:bCs/>
          <w:lang w:val="en-US"/>
        </w:rPr>
      </w:pPr>
      <w:proofErr w:type="spellStart"/>
      <w:r w:rsidRPr="00144B7C">
        <w:rPr>
          <w:rFonts w:cstheme="minorHAnsi"/>
          <w:b/>
          <w:bCs/>
          <w:lang w:val="en-US"/>
        </w:rPr>
        <w:t>Referenslista</w:t>
      </w:r>
      <w:proofErr w:type="spellEnd"/>
    </w:p>
    <w:p w14:paraId="45948331" w14:textId="4BA8E31C" w:rsidR="00005797" w:rsidRPr="00144B7C" w:rsidRDefault="00005797" w:rsidP="00005797">
      <w:pPr>
        <w:rPr>
          <w:rFonts w:cstheme="minorHAnsi"/>
          <w:lang w:val="en-US"/>
        </w:rPr>
      </w:pPr>
    </w:p>
    <w:p w14:paraId="6D79D9CC" w14:textId="1EA8758C" w:rsidR="00005797" w:rsidRPr="00144B7C" w:rsidRDefault="00005797" w:rsidP="0000579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144B7C">
        <w:rPr>
          <w:rFonts w:asciiTheme="minorHAnsi" w:hAnsiTheme="minorHAnsi" w:cstheme="minorHAnsi"/>
        </w:rPr>
        <w:fldChar w:fldCharType="begin"/>
      </w:r>
      <w:r w:rsidRPr="00144B7C">
        <w:rPr>
          <w:rFonts w:asciiTheme="minorHAnsi" w:hAnsiTheme="minorHAnsi" w:cstheme="minorHAnsi"/>
        </w:rPr>
        <w:instrText xml:space="preserve"> ADDIN EN.REFLIST </w:instrText>
      </w:r>
      <w:r w:rsidRPr="00144B7C">
        <w:rPr>
          <w:rFonts w:asciiTheme="minorHAnsi" w:hAnsiTheme="minorHAnsi" w:cstheme="minorHAnsi"/>
        </w:rPr>
        <w:fldChar w:fldCharType="separate"/>
      </w:r>
      <w:r w:rsidRPr="00144B7C">
        <w:rPr>
          <w:rFonts w:asciiTheme="minorHAnsi" w:hAnsiTheme="minorHAnsi" w:cstheme="minorHAnsi"/>
        </w:rPr>
        <w:t xml:space="preserve"> ACOG Committee Opinion No. 767 Summary: Emergent Therapy for Acute-Onset, Severe Hypertension During Pregnancy and the Postpartum Period. </w:t>
      </w:r>
      <w:r w:rsidRPr="00144B7C">
        <w:rPr>
          <w:rFonts w:asciiTheme="minorHAnsi" w:hAnsiTheme="minorHAnsi" w:cstheme="minorHAnsi"/>
          <w:i/>
        </w:rPr>
        <w:t>Obstetrics and gynecology</w:t>
      </w:r>
      <w:r w:rsidRPr="00144B7C">
        <w:rPr>
          <w:rFonts w:asciiTheme="minorHAnsi" w:hAnsiTheme="minorHAnsi" w:cstheme="minorHAnsi"/>
        </w:rPr>
        <w:t xml:space="preserve"> 2019;133(2):409-12. doi: 10.1097/aog.0000000000003082 [published Online First: 2019/01/27]</w:t>
      </w:r>
    </w:p>
    <w:p w14:paraId="76A54FA2" w14:textId="257BBE48" w:rsidR="00005797" w:rsidRPr="00144B7C" w:rsidRDefault="00005797" w:rsidP="0000579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144B7C">
        <w:rPr>
          <w:rFonts w:asciiTheme="minorHAnsi" w:hAnsiTheme="minorHAnsi" w:cstheme="minorHAnsi"/>
        </w:rPr>
        <w:t xml:space="preserve">Alavifard S, Chase R, Janoudi G, et al. First-line antihypertensive treatment for severe hypertension in pregnancy: A systematic review and network meta-analysis. </w:t>
      </w:r>
      <w:r w:rsidRPr="00144B7C">
        <w:rPr>
          <w:rFonts w:asciiTheme="minorHAnsi" w:hAnsiTheme="minorHAnsi" w:cstheme="minorHAnsi"/>
          <w:i/>
        </w:rPr>
        <w:t>Pregnancy hypertension</w:t>
      </w:r>
      <w:r w:rsidRPr="00144B7C">
        <w:rPr>
          <w:rFonts w:asciiTheme="minorHAnsi" w:hAnsiTheme="minorHAnsi" w:cstheme="minorHAnsi"/>
        </w:rPr>
        <w:t xml:space="preserve"> 2019;18:179-87. doi: 10.1016/j.preghy.2019.09.019 [published Online First: 2019/11/05]</w:t>
      </w:r>
    </w:p>
    <w:p w14:paraId="3EECE2AD" w14:textId="7227DC96" w:rsidR="00005797" w:rsidRPr="00144B7C" w:rsidRDefault="00005797" w:rsidP="0000579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144B7C">
        <w:rPr>
          <w:rFonts w:asciiTheme="minorHAnsi" w:hAnsiTheme="minorHAnsi" w:cstheme="minorHAnsi"/>
        </w:rPr>
        <w:t xml:space="preserve">Cox AG, Marshall SA, Palmer KR, et al. Current and emerging pharmacotherapy for emergency management of preeclampsia. </w:t>
      </w:r>
      <w:r w:rsidRPr="00144B7C">
        <w:rPr>
          <w:rFonts w:asciiTheme="minorHAnsi" w:hAnsiTheme="minorHAnsi" w:cstheme="minorHAnsi"/>
          <w:i/>
        </w:rPr>
        <w:t>Expert opinion on pharmacotherapy</w:t>
      </w:r>
      <w:r w:rsidRPr="00144B7C">
        <w:rPr>
          <w:rFonts w:asciiTheme="minorHAnsi" w:hAnsiTheme="minorHAnsi" w:cstheme="minorHAnsi"/>
        </w:rPr>
        <w:t xml:space="preserve"> 2019;20(6):701-12. doi: 10.1080/14656566.2019.1570134 [published Online First: 2019/02/02]</w:t>
      </w:r>
    </w:p>
    <w:p w14:paraId="556BD3BF" w14:textId="095A0252" w:rsidR="00005797" w:rsidRPr="00144B7C" w:rsidRDefault="00005797" w:rsidP="00A76D5E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144B7C">
        <w:rPr>
          <w:rFonts w:asciiTheme="minorHAnsi" w:hAnsiTheme="minorHAnsi" w:cstheme="minorHAnsi"/>
        </w:rPr>
        <w:t xml:space="preserve">Duley L, Meher S, Jones L. Drugs for treatment of very high blood pressure during pregnancy. </w:t>
      </w:r>
      <w:r w:rsidRPr="00144B7C">
        <w:rPr>
          <w:rFonts w:asciiTheme="minorHAnsi" w:hAnsiTheme="minorHAnsi" w:cstheme="minorHAnsi"/>
          <w:i/>
        </w:rPr>
        <w:t>The Cochrane database of systematic reviews</w:t>
      </w:r>
      <w:r w:rsidRPr="00144B7C">
        <w:rPr>
          <w:rFonts w:asciiTheme="minorHAnsi" w:hAnsiTheme="minorHAnsi" w:cstheme="minorHAnsi"/>
        </w:rPr>
        <w:t xml:space="preserve"> 2013;2013(7):Cd001449. doi: 10.1002/14651858.CD001449.pub3 [published Online First: 2013/08/01</w:t>
      </w:r>
    </w:p>
    <w:p w14:paraId="20C0E52F" w14:textId="6D44CB2B" w:rsidR="00005797" w:rsidRPr="00144B7C" w:rsidRDefault="00005797" w:rsidP="0000579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144B7C">
        <w:rPr>
          <w:rFonts w:asciiTheme="minorHAnsi" w:hAnsiTheme="minorHAnsi" w:cstheme="minorHAnsi"/>
        </w:rPr>
        <w:t xml:space="preserve">Easterling T, Mundle S, Bracken H, et al. Oral antihypertensive regimens (nifedipine retard, labetalol, and methyldopa) for management of severe hypertension in pregnancy: an open-label, </w:t>
      </w:r>
      <w:r w:rsidRPr="00144B7C">
        <w:rPr>
          <w:rFonts w:asciiTheme="minorHAnsi" w:hAnsiTheme="minorHAnsi" w:cstheme="minorHAnsi"/>
        </w:rPr>
        <w:lastRenderedPageBreak/>
        <w:t xml:space="preserve">randomised controlled trial. </w:t>
      </w:r>
      <w:r w:rsidRPr="00144B7C">
        <w:rPr>
          <w:rFonts w:asciiTheme="minorHAnsi" w:hAnsiTheme="minorHAnsi" w:cstheme="minorHAnsi"/>
          <w:i/>
        </w:rPr>
        <w:t>Lancet (London, England)</w:t>
      </w:r>
      <w:r w:rsidRPr="00144B7C">
        <w:rPr>
          <w:rFonts w:asciiTheme="minorHAnsi" w:hAnsiTheme="minorHAnsi" w:cstheme="minorHAnsi"/>
        </w:rPr>
        <w:t xml:space="preserve"> 2019;394(10203):1011-21. doi: 10.1016/s0140-6736(19)31282-6 [published Online First: 2019/08/06]</w:t>
      </w:r>
    </w:p>
    <w:p w14:paraId="232509DA" w14:textId="2A21FA77" w:rsidR="00005797" w:rsidRPr="00144B7C" w:rsidRDefault="00005797" w:rsidP="0000579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144B7C">
        <w:rPr>
          <w:rFonts w:asciiTheme="minorHAnsi" w:hAnsiTheme="minorHAnsi" w:cstheme="minorHAnsi"/>
        </w:rPr>
        <w:t xml:space="preserve">Rezaei Z, Sharbaf FR, Pourmojieb M, et al. Comparison of the efficacy of nifedipine and hydralazine in hypertensive crisis in pregnancy. </w:t>
      </w:r>
      <w:r w:rsidRPr="00144B7C">
        <w:rPr>
          <w:rFonts w:asciiTheme="minorHAnsi" w:hAnsiTheme="minorHAnsi" w:cstheme="minorHAnsi"/>
          <w:i/>
        </w:rPr>
        <w:t>Acta medica Iranica</w:t>
      </w:r>
      <w:r w:rsidRPr="00144B7C">
        <w:rPr>
          <w:rFonts w:asciiTheme="minorHAnsi" w:hAnsiTheme="minorHAnsi" w:cstheme="minorHAnsi"/>
        </w:rPr>
        <w:t xml:space="preserve"> 2011;49(11):701-6. [published Online First: 2011/12/02]</w:t>
      </w:r>
    </w:p>
    <w:p w14:paraId="5EF7B880" w14:textId="58632023" w:rsidR="00005797" w:rsidRPr="00144B7C" w:rsidRDefault="00005797" w:rsidP="0000579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144B7C">
        <w:rPr>
          <w:rFonts w:asciiTheme="minorHAnsi" w:hAnsiTheme="minorHAnsi" w:cstheme="minorHAnsi"/>
        </w:rPr>
        <w:t xml:space="preserve">Sridharan K, Sequeira RP. Drugs for treating severe hypertension in pregnancy: a network meta-analysis and trial sequential analysis of randomized clinical trials. </w:t>
      </w:r>
      <w:r w:rsidRPr="00144B7C">
        <w:rPr>
          <w:rFonts w:asciiTheme="minorHAnsi" w:hAnsiTheme="minorHAnsi" w:cstheme="minorHAnsi"/>
          <w:i/>
        </w:rPr>
        <w:t>British journal of clinical pharmacology</w:t>
      </w:r>
      <w:r w:rsidRPr="00144B7C">
        <w:rPr>
          <w:rFonts w:asciiTheme="minorHAnsi" w:hAnsiTheme="minorHAnsi" w:cstheme="minorHAnsi"/>
        </w:rPr>
        <w:t xml:space="preserve"> 2018;84(9):1906-16. doi: 10.1111/bcp.13649 [published Online First: 2018/07/06]</w:t>
      </w:r>
    </w:p>
    <w:p w14:paraId="73E50886" w14:textId="7509E20C" w:rsidR="00005797" w:rsidRPr="00144B7C" w:rsidRDefault="00005797" w:rsidP="005C33EC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144B7C">
        <w:rPr>
          <w:rFonts w:asciiTheme="minorHAnsi" w:hAnsiTheme="minorHAnsi" w:cstheme="minorHAnsi"/>
        </w:rPr>
        <w:t xml:space="preserve">Vermillion ST, Scardo JA, Newman RB, et al. A randomized, double-blind trial of oral nifedipine and intravenous labetalol in hypertensive emergencies of pregnancy. </w:t>
      </w:r>
      <w:r w:rsidRPr="00144B7C">
        <w:rPr>
          <w:rFonts w:asciiTheme="minorHAnsi" w:hAnsiTheme="minorHAnsi" w:cstheme="minorHAnsi"/>
          <w:i/>
        </w:rPr>
        <w:t>American journal of obstetrics and gynecology</w:t>
      </w:r>
      <w:r w:rsidRPr="00144B7C">
        <w:rPr>
          <w:rFonts w:asciiTheme="minorHAnsi" w:hAnsiTheme="minorHAnsi" w:cstheme="minorHAnsi"/>
        </w:rPr>
        <w:t xml:space="preserve"> 1999;181(4):858-61. doi: 10.1016/s0002-9378(99)70314-5 [published Online First: 1999/10/16</w:t>
      </w:r>
    </w:p>
    <w:p w14:paraId="421F277B" w14:textId="076E1B14" w:rsidR="00E9405F" w:rsidRPr="00A54952" w:rsidRDefault="00005797">
      <w:pPr>
        <w:rPr>
          <w:rFonts w:cstheme="minorHAnsi"/>
          <w:lang w:val="en-US"/>
        </w:rPr>
      </w:pPr>
      <w:r w:rsidRPr="00144B7C">
        <w:rPr>
          <w:rFonts w:cstheme="minorHAnsi"/>
        </w:rPr>
        <w:fldChar w:fldCharType="end"/>
      </w:r>
    </w:p>
    <w:sectPr w:rsidR="00E9405F" w:rsidRPr="00A5495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DBB59" w14:textId="77777777" w:rsidR="003B209E" w:rsidRDefault="003B209E" w:rsidP="00F10EC9">
      <w:r>
        <w:separator/>
      </w:r>
    </w:p>
  </w:endnote>
  <w:endnote w:type="continuationSeparator" w:id="0">
    <w:p w14:paraId="2F705CC4" w14:textId="77777777" w:rsidR="003B209E" w:rsidRDefault="003B209E" w:rsidP="00F1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-1510514156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79F9E6F" w14:textId="77777777" w:rsidR="00F10EC9" w:rsidRDefault="00F10EC9" w:rsidP="00DE71F4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18DEE3B" w14:textId="77777777" w:rsidR="00F10EC9" w:rsidRDefault="00F10EC9" w:rsidP="00F10EC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-36375206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7D2BA3F" w14:textId="0BEE2116" w:rsidR="00F10EC9" w:rsidRDefault="00F10EC9" w:rsidP="00DE71F4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9B641C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4A3FE711" w14:textId="77777777" w:rsidR="00F10EC9" w:rsidRDefault="00F10EC9" w:rsidP="00F10EC9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E0E29" w14:textId="77777777" w:rsidR="003B209E" w:rsidRDefault="003B209E" w:rsidP="00F10EC9">
      <w:r>
        <w:separator/>
      </w:r>
    </w:p>
  </w:footnote>
  <w:footnote w:type="continuationSeparator" w:id="0">
    <w:p w14:paraId="63D599F7" w14:textId="77777777" w:rsidR="003B209E" w:rsidRDefault="003B209E" w:rsidP="00F1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0AE6AB"/>
    <w:multiLevelType w:val="hybridMultilevel"/>
    <w:tmpl w:val="2C8191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41AE27"/>
    <w:multiLevelType w:val="hybridMultilevel"/>
    <w:tmpl w:val="F0F148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0370653"/>
    <w:multiLevelType w:val="multilevel"/>
    <w:tmpl w:val="AC88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3C5"/>
    <w:rsid w:val="00005797"/>
    <w:rsid w:val="00047C43"/>
    <w:rsid w:val="000676C6"/>
    <w:rsid w:val="000925BE"/>
    <w:rsid w:val="000B0498"/>
    <w:rsid w:val="000B1540"/>
    <w:rsid w:val="000D0378"/>
    <w:rsid w:val="000E63ED"/>
    <w:rsid w:val="000F03C8"/>
    <w:rsid w:val="000F3D19"/>
    <w:rsid w:val="001244DF"/>
    <w:rsid w:val="00140C90"/>
    <w:rsid w:val="0014409C"/>
    <w:rsid w:val="00144B7C"/>
    <w:rsid w:val="00154631"/>
    <w:rsid w:val="001C4755"/>
    <w:rsid w:val="001C5B66"/>
    <w:rsid w:val="001F7523"/>
    <w:rsid w:val="001F78AA"/>
    <w:rsid w:val="00221350"/>
    <w:rsid w:val="00222D01"/>
    <w:rsid w:val="002266F5"/>
    <w:rsid w:val="00263D91"/>
    <w:rsid w:val="00273060"/>
    <w:rsid w:val="002777F5"/>
    <w:rsid w:val="002E5804"/>
    <w:rsid w:val="002F0605"/>
    <w:rsid w:val="003404F7"/>
    <w:rsid w:val="003405F9"/>
    <w:rsid w:val="00363444"/>
    <w:rsid w:val="00392266"/>
    <w:rsid w:val="003A2465"/>
    <w:rsid w:val="003A3FB4"/>
    <w:rsid w:val="003B209E"/>
    <w:rsid w:val="003D1A2F"/>
    <w:rsid w:val="00401B88"/>
    <w:rsid w:val="00474D14"/>
    <w:rsid w:val="0048262C"/>
    <w:rsid w:val="004836C9"/>
    <w:rsid w:val="004B1726"/>
    <w:rsid w:val="004F6027"/>
    <w:rsid w:val="00501F17"/>
    <w:rsid w:val="00530A1C"/>
    <w:rsid w:val="00551577"/>
    <w:rsid w:val="005A3D43"/>
    <w:rsid w:val="005A6B4A"/>
    <w:rsid w:val="005C33EC"/>
    <w:rsid w:val="006312F3"/>
    <w:rsid w:val="00634FD2"/>
    <w:rsid w:val="0069451F"/>
    <w:rsid w:val="006B1DB2"/>
    <w:rsid w:val="006D5D91"/>
    <w:rsid w:val="006F6A40"/>
    <w:rsid w:val="007138D4"/>
    <w:rsid w:val="00730CFB"/>
    <w:rsid w:val="007425B0"/>
    <w:rsid w:val="00752598"/>
    <w:rsid w:val="00756E9B"/>
    <w:rsid w:val="00786888"/>
    <w:rsid w:val="007D5691"/>
    <w:rsid w:val="00803A79"/>
    <w:rsid w:val="008145FC"/>
    <w:rsid w:val="00827DF5"/>
    <w:rsid w:val="008303F3"/>
    <w:rsid w:val="00862B6B"/>
    <w:rsid w:val="008B1167"/>
    <w:rsid w:val="008D2C40"/>
    <w:rsid w:val="008E08C6"/>
    <w:rsid w:val="008E63B3"/>
    <w:rsid w:val="0090148C"/>
    <w:rsid w:val="009053C5"/>
    <w:rsid w:val="0090541F"/>
    <w:rsid w:val="009125FC"/>
    <w:rsid w:val="009361FF"/>
    <w:rsid w:val="00985385"/>
    <w:rsid w:val="00990E7F"/>
    <w:rsid w:val="0099331D"/>
    <w:rsid w:val="009A25B7"/>
    <w:rsid w:val="009A53A0"/>
    <w:rsid w:val="009A68BF"/>
    <w:rsid w:val="009B641C"/>
    <w:rsid w:val="009F1E8C"/>
    <w:rsid w:val="009F2C84"/>
    <w:rsid w:val="009F3623"/>
    <w:rsid w:val="00A273FE"/>
    <w:rsid w:val="00A54952"/>
    <w:rsid w:val="00A56556"/>
    <w:rsid w:val="00A625EE"/>
    <w:rsid w:val="00A629FA"/>
    <w:rsid w:val="00A76D5E"/>
    <w:rsid w:val="00B6548C"/>
    <w:rsid w:val="00B81BBB"/>
    <w:rsid w:val="00B81E93"/>
    <w:rsid w:val="00B87A8F"/>
    <w:rsid w:val="00BC49BA"/>
    <w:rsid w:val="00BD56C1"/>
    <w:rsid w:val="00BD5F8E"/>
    <w:rsid w:val="00C205C8"/>
    <w:rsid w:val="00C3617C"/>
    <w:rsid w:val="00C54F21"/>
    <w:rsid w:val="00C679A3"/>
    <w:rsid w:val="00C8277D"/>
    <w:rsid w:val="00C92578"/>
    <w:rsid w:val="00CC5A41"/>
    <w:rsid w:val="00D12705"/>
    <w:rsid w:val="00D159D7"/>
    <w:rsid w:val="00D27090"/>
    <w:rsid w:val="00D43729"/>
    <w:rsid w:val="00D463CC"/>
    <w:rsid w:val="00D50386"/>
    <w:rsid w:val="00D94117"/>
    <w:rsid w:val="00DD1C43"/>
    <w:rsid w:val="00E044C5"/>
    <w:rsid w:val="00E30B22"/>
    <w:rsid w:val="00E52BE5"/>
    <w:rsid w:val="00E663C0"/>
    <w:rsid w:val="00E9405F"/>
    <w:rsid w:val="00EC400C"/>
    <w:rsid w:val="00EC7602"/>
    <w:rsid w:val="00EE30B0"/>
    <w:rsid w:val="00EF1533"/>
    <w:rsid w:val="00F03394"/>
    <w:rsid w:val="00F10EC9"/>
    <w:rsid w:val="00F1633A"/>
    <w:rsid w:val="00F90BF7"/>
    <w:rsid w:val="00FB6302"/>
    <w:rsid w:val="00FC0A57"/>
    <w:rsid w:val="00FC0F1C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7178"/>
  <w15:chartTrackingRefBased/>
  <w15:docId w15:val="{EF6EF01B-854D-114F-9946-61051FED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F10E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0EC9"/>
  </w:style>
  <w:style w:type="character" w:styleId="Sidnummer">
    <w:name w:val="page number"/>
    <w:basedOn w:val="Standardstycketeckensnitt"/>
    <w:uiPriority w:val="99"/>
    <w:semiHidden/>
    <w:unhideWhenUsed/>
    <w:rsid w:val="00F10EC9"/>
  </w:style>
  <w:style w:type="table" w:styleId="Tabellrutnt">
    <w:name w:val="Table Grid"/>
    <w:basedOn w:val="Normaltabell"/>
    <w:uiPriority w:val="39"/>
    <w:rsid w:val="00F1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303F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03F3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303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303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303F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03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03F3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005797"/>
    <w:pPr>
      <w:spacing w:after="160"/>
    </w:pPr>
    <w:rPr>
      <w:rFonts w:ascii="Calibri" w:hAnsi="Calibri" w:cs="Calibr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rsid w:val="00005797"/>
    <w:rPr>
      <w:rFonts w:ascii="Calibri" w:hAnsi="Calibri" w:cs="Calibri"/>
      <w:noProof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E663C0"/>
  </w:style>
  <w:style w:type="paragraph" w:customStyle="1" w:styleId="Default">
    <w:name w:val="Default"/>
    <w:rsid w:val="00634FD2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xmsonormal">
    <w:name w:val="x_msonormal"/>
    <w:basedOn w:val="Normal"/>
    <w:rsid w:val="00634F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BD5F8E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E0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http://www.lakemedelsverket.se/lice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Hellgren Wångdahl</dc:creator>
  <cp:keywords/>
  <dc:description/>
  <cp:lastModifiedBy>Margareta Hellgren Wångdahl</cp:lastModifiedBy>
  <cp:revision>2</cp:revision>
  <cp:lastPrinted>2020-07-22T14:11:00Z</cp:lastPrinted>
  <dcterms:created xsi:type="dcterms:W3CDTF">2020-09-09T12:51:00Z</dcterms:created>
  <dcterms:modified xsi:type="dcterms:W3CDTF">2020-09-09T12:51:00Z</dcterms:modified>
</cp:coreProperties>
</file>